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3820" w:right="1580" w:hanging="3799"/>
        <w:spacing w:after="0" w:line="289"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2780" w:right="1600" w:hanging="2759"/>
        <w:spacing w:after="0" w:line="297"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w:t>
      </w: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6"/>
          <w:szCs w:val="16"/>
          <w:b w:val="1"/>
          <w:bCs w:val="1"/>
          <w:color w:val="auto"/>
        </w:rPr>
        <w:t>001-41157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Neuphoria Therapeutics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Borders>
              <w:bottom w:val="single" w:sz="8" w:color="auto"/>
            </w:tcBorders>
            <w:gridSpan w:val="3"/>
          </w:tcPr>
          <w:p>
            <w:pPr>
              <w:ind w:left="25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jc w:val="right"/>
              <w:ind w:right="2261"/>
              <w:spacing w:after="0"/>
              <w:rPr>
                <w:sz w:val="20"/>
                <w:szCs w:val="20"/>
                <w:color w:val="auto"/>
              </w:rPr>
            </w:pPr>
            <w:r>
              <w:rPr>
                <w:rFonts w:ascii="Times New Roman" w:cs="Times New Roman" w:eastAsia="Times New Roman" w:hAnsi="Times New Roman"/>
                <w:sz w:val="16"/>
                <w:szCs w:val="16"/>
                <w:b w:val="1"/>
                <w:bCs w:val="1"/>
                <w:color w:val="auto"/>
              </w:rPr>
              <w:t>99-3845449</w:t>
            </w:r>
          </w:p>
        </w:tc>
        <w:tc>
          <w:tcPr>
            <w:tcW w:w="0" w:type="dxa"/>
            <w:vAlign w:val="bottom"/>
          </w:tcPr>
          <w:p>
            <w:pPr>
              <w:spacing w:after="0"/>
              <w:rPr>
                <w:sz w:val="1"/>
                <w:szCs w:val="1"/>
                <w:color w:val="auto"/>
              </w:rPr>
            </w:pPr>
          </w:p>
        </w:tc>
      </w:tr>
      <w:tr>
        <w:trPr>
          <w:trHeight w:val="185"/>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651"/>
        </w:trPr>
        <w:tc>
          <w:tcPr>
            <w:tcW w:w="450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rPr>
              <w:t>100 Summit Drive, Burlington, Massachusetts</w:t>
            </w: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61"/>
              <w:spacing w:after="0"/>
              <w:rPr>
                <w:sz w:val="20"/>
                <w:szCs w:val="20"/>
                <w:color w:val="auto"/>
              </w:rPr>
            </w:pPr>
            <w:r>
              <w:rPr>
                <w:rFonts w:ascii="Times New Roman" w:cs="Times New Roman" w:eastAsia="Times New Roman" w:hAnsi="Times New Roman"/>
                <w:sz w:val="16"/>
                <w:szCs w:val="16"/>
                <w:b w:val="1"/>
                <w:bCs w:val="1"/>
                <w:color w:val="auto"/>
              </w:rPr>
              <w:t>01803</w:t>
            </w:r>
          </w:p>
        </w:tc>
        <w:tc>
          <w:tcPr>
            <w:tcW w:w="0" w:type="dxa"/>
            <w:vAlign w:val="bottom"/>
          </w:tcPr>
          <w:p>
            <w:pPr>
              <w:spacing w:after="0"/>
              <w:rPr>
                <w:sz w:val="1"/>
                <w:szCs w:val="1"/>
                <w:color w:val="auto"/>
              </w:rPr>
            </w:pPr>
          </w:p>
        </w:tc>
      </w:tr>
      <w:tr>
        <w:trPr>
          <w:trHeight w:val="207"/>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center"/>
              <w:ind w:left="539"/>
              <w:spacing w:after="0"/>
              <w:rPr>
                <w:sz w:val="20"/>
                <w:szCs w:val="20"/>
                <w:color w:val="auto"/>
              </w:rPr>
            </w:pPr>
            <w:r>
              <w:rPr>
                <w:rFonts w:ascii="Times New Roman" w:cs="Times New Roman" w:eastAsia="Times New Roman" w:hAnsi="Times New Roman"/>
                <w:sz w:val="16"/>
                <w:szCs w:val="16"/>
                <w:b w:val="1"/>
                <w:bCs w:val="1"/>
                <w:u w:val="single" w:color="auto"/>
                <w:color w:val="auto"/>
              </w:rPr>
              <w:t>(781)</w:t>
            </w:r>
            <w:r>
              <w:rPr>
                <w:rFonts w:ascii="Times New Roman" w:cs="Times New Roman" w:eastAsia="Times New Roman" w:hAnsi="Times New Roman"/>
                <w:sz w:val="16"/>
                <w:szCs w:val="16"/>
                <w:b w:val="1"/>
                <w:bCs w:val="1"/>
                <w:color w:val="auto"/>
              </w:rPr>
              <w:t xml:space="preserve"> 730-6665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gridSpan w:val="4"/>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0" w:type="dxa"/>
            <w:vAlign w:val="bottom"/>
            <w:gridSpan w:val="11"/>
          </w:tcPr>
          <w:p>
            <w:pPr>
              <w:jc w:val="center"/>
              <w:ind w:left="356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Registrant’s telephone number, including area code)</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5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00" w:type="dxa"/>
            <w:vAlign w:val="bottom"/>
            <w:gridSpan w:val="3"/>
            <w:vMerge w:val="continue"/>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20" w:type="dxa"/>
            <w:vAlign w:val="bottom"/>
            <w:gridSpan w:val="7"/>
          </w:tcPr>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5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680" w:type="dxa"/>
            <w:vAlign w:val="bottom"/>
          </w:tcPr>
          <w:p>
            <w:pPr>
              <w:spacing w:after="0"/>
              <w:rPr>
                <w:sz w:val="14"/>
                <w:szCs w:val="14"/>
                <w:color w:val="auto"/>
              </w:rPr>
            </w:pPr>
          </w:p>
        </w:tc>
        <w:tc>
          <w:tcPr>
            <w:tcW w:w="2420" w:type="dxa"/>
            <w:vAlign w:val="bottom"/>
            <w:gridSpan w:val="7"/>
          </w:tcPr>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64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 per share</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5"/>
          </w:tcPr>
          <w:p>
            <w:pPr>
              <w:jc w:val="center"/>
              <w:ind w:right="780"/>
              <w:spacing w:after="0"/>
              <w:rPr>
                <w:sz w:val="20"/>
                <w:szCs w:val="20"/>
                <w:color w:val="auto"/>
              </w:rPr>
            </w:pPr>
            <w:r>
              <w:rPr>
                <w:rFonts w:ascii="Times New Roman" w:cs="Times New Roman" w:eastAsia="Times New Roman" w:hAnsi="Times New Roman"/>
                <w:sz w:val="16"/>
                <w:szCs w:val="16"/>
                <w:color w:val="auto"/>
              </w:rPr>
              <w:t>NEUP</w:t>
            </w: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61"/>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60" w:firstLine="50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spacing w:after="0" w:line="184" w:lineRule="exact"/>
        <w:tabs>
          <w:tab w:leader="none" w:pos="806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2" w:lineRule="exact"/>
        <w:rPr>
          <w:sz w:val="24"/>
          <w:szCs w:val="24"/>
          <w:color w:val="auto"/>
        </w:rPr>
      </w:pPr>
    </w:p>
    <w:p>
      <w:pPr>
        <w:ind w:right="14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May 14, 2026, there were 5,404,551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Basis of Presentation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Other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Shareholders'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5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Neuphoria Therapeutics Inc. is a Delaware corporation (“Neuphoria”) listed on the Nasdaq Global Market. We were formally known as Bionomics Limited ("Bionomics") an Australian company that on October 1, 2024 entered into a Scheme Implementation Agreement with Neuphoria to re-domicile from Australia to the State of Delaware pursuant to a Scheme of Arrangement under Australian law. On December 23, 2024, the re-domiciliation of Bionomics was implemented and effectuated in accordance with the Scheme Implementation Agreement, as amended. As a result, (i) holders of ordinary shares of Bionomics received one share of our common stock for every 2,160 ordinary shares of Bionomics held on the Scheme record date; (ii) holders of Bionomics’ American Depositary Shares (“ADS”) with each ADS representing 180 ordinary shares of Bionomics, received one share of Neuphoria’s common stock for every 12 ADSs held on the Scheme record date; and (iii) we became the successor issuer to Bionomics. Prior to our redomiciliation, since July 1, 2024, we had been reporting as a domestic U.S. issuer on SEC Forms 10-K, 10-Q, and 8-K.</w:t>
      </w:r>
    </w:p>
    <w:p>
      <w:pPr>
        <w:spacing w:after="0" w:line="8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terms “we,” “our,” “us” and the “Company” in this Quarterly Report on Form 10-Q refer to Neuphoria Therapeutics Inc. and its consolidated subsidiaries after December 23, 2024 and Bionomics and its consolidated subsidiaries on and prior to December 23, 2024, unless otherwise specified. When we refer to “you,” we mean the potential holders of the applicable series of securities:</w:t>
      </w:r>
    </w:p>
    <w:p>
      <w:pPr>
        <w:spacing w:after="0" w:line="68"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refers to our ordinary shares prior to December 23, 2024;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refers to our common stock, par value $0.00001 per share beginning December 24, 2024;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American Depositary Shares, each of which represented 180 ordinary shares prior to December 23, 2024;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American Depositary Receipts, which evidence the ADSs.</w:t>
      </w:r>
    </w:p>
    <w:p>
      <w:pPr>
        <w:spacing w:after="0" w:line="124"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We use our registered and unregistered trademarks, including Neuphoria™ and Bionomics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this Quarterly Report on Form 10-Q (the “Quarterly Report”). This Quarterly Report also includes trademarks, tradenames and service marks that are the property of other organizations. Solely for convenience, trademarks and tradenames referred to in this Quarterly Report appear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 and “US$” in this Quarterly Report mean U.S. dollars. All references to “A$” in this Quarterly Report mean Australian dollars.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 is June 30. References to a particular “fiscal year” are to our fiscal year ended June 30 of that calendar year.</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Unless otherwise indicated, the condensed consolidated financial statements and related notes incorporated in this Quarterly Report have been prepared in accordance with generally accepted accounting principles in the United States of America (“GAAP”) and are presented in U.S. dollars.</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Section 27A of the Securities Act of 1933, as amended, and Section 21E of the Securities Exchange Act of 1934, as amended, that involve substantial risks and uncertainties. 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These statements speak only as of the date of filing this report with the Securities and Exchange Commission (the “SEC”) and involve known and unknown risks, uncertainties and other important factors that may cause our actual results, performance or achievements to be materially different from any future results, performance or achievements expressed or implied by the forward-looking statements. These forward-looking statements include, without limitation, statements about the following:</w:t>
      </w:r>
    </w:p>
    <w:p>
      <w:pPr>
        <w:spacing w:after="0" w:line="79" w:lineRule="exact"/>
        <w:rPr>
          <w:sz w:val="20"/>
          <w:szCs w:val="20"/>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operating history and need for additional capital;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positive results;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our clinical trials and preclinical studies, and the reporting of data from those trials and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any product candidates, including the geographic areas of focus and sales strategy;</w:t>
      </w:r>
    </w:p>
    <w:p>
      <w:pPr>
        <w:spacing w:after="0" w:line="11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and competitive landscape for our product candidates, including our estimates of the number of patients who suffer from the conditions we are targeting;</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initiation and completion, and the progress of our drug discovery and research programs;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 candidates for various diseases;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development of our product candidates, including additional indications we may pursue;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Australia, Europe and other jurisdictions;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pandemic that could adversely impact our preclinical studies and clinical trials;</w:t>
      </w:r>
    </w:p>
    <w:p>
      <w:pPr>
        <w:spacing w:after="0" w:line="117"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maintain, protect and enforce our intellectual property rights and our proprietary technologies, including extensions of existing patent terms where available;</w:t>
      </w:r>
    </w:p>
    <w:p>
      <w:pPr>
        <w:spacing w:after="0" w:line="53"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53"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any collaboration,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or retain key personnel and our ability to attract and/or retain such personnel;</w:t>
      </w:r>
    </w:p>
    <w:p>
      <w:pPr>
        <w:spacing w:after="0" w:line="117" w:lineRule="exact"/>
        <w:rPr>
          <w:rFonts w:ascii="Times New Roman" w:cs="Times New Roman" w:eastAsia="Times New Roman" w:hAnsi="Times New Roman"/>
          <w:sz w:val="18"/>
          <w:szCs w:val="18"/>
          <w:color w:val="auto"/>
        </w:rPr>
      </w:pPr>
    </w:p>
    <w:p>
      <w:pPr>
        <w:ind w:left="1140" w:right="70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the impact of a fluctuating currency exchange on these estimates;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1140" w:right="56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risks and any failure to maintain the confidentiality, integrity and availability of our computer hardware, software and internet applications and related tools and functions;</w:t>
      </w:r>
    </w:p>
    <w:p>
      <w:pPr>
        <w:spacing w:after="0" w:line="53" w:lineRule="exact"/>
        <w:rPr>
          <w:rFonts w:ascii="Times New Roman" w:cs="Times New Roman" w:eastAsia="Times New Roman" w:hAnsi="Times New Roman"/>
          <w:sz w:val="18"/>
          <w:szCs w:val="18"/>
          <w:color w:val="auto"/>
        </w:rPr>
      </w:pPr>
    </w:p>
    <w:p>
      <w:pPr>
        <w:ind w:left="1140" w:right="80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conducting and completion of a strategic review, and our pursuit of, and ability to successfully identify and execute, strategic transactions;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preserve our existing cash resources;</w:t>
      </w:r>
    </w:p>
    <w:p>
      <w:pPr>
        <w:spacing w:after="0" w:line="117"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value or recovery that may be available to our stockholders and other stakeholders as part of a strategic alternative transaction process;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including while we undertake our strategic review process;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defense of any future litigation that may be initiated against us;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“Risk Factors.”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risks and uncertainties are discussed more fully under the caption “Risk Factors” in our filings with the SEC, including in Part II, Item 1A. “Risk Factors” of our Annual Report on Form 10-K for the year ended June 30, 2025 and in Part II, Item 1A. “Risk Factors” of this Quarterly Report on Form 10-Q. Accordingly, you should not place undue reliance on forward-looking statements. To the extent permitted by applicable law, we expressly disclaim any intent or obligation to update any forward-looking statements to reflect subsequent events or circumstances. We operate in an evolving environment and new risk factors and uncertainties may emerge from time to time. As a result of these factors, we cannot assure you that the forward-looking statements in this report will prove to be accurate.</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review the factors and risks and other information we describe in the reports we will file from time to time with the SEC. Should one or more of these risks or uncertainties materialize, or should any of our assumptions prove incorrect, actual results may vary in material respect from those projected in these forward-looking statements. We undertake no obligation to update or revise any forward-looking statements, whether as a result of new information, future events or otherwise, except as may be required under applicable securities laws. Although we undertake no obligation to revise or update any forward-looking statements in this Quarterly Report, whether as a result of new information, future events or otherwise, you are advised to consult any additional disclosures that we may make directly to you or through reports that we may file in the future with the SEC, including Annual Reports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94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19,440,655</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14,210,745</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non-trade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77,945</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740,193</w:t>
            </w:r>
          </w:p>
        </w:tc>
        <w:tc>
          <w:tcPr>
            <w:tcW w:w="100" w:type="dxa"/>
            <w:vAlign w:val="bottom"/>
          </w:tcPr>
          <w:p>
            <w:pPr>
              <w:spacing w:after="0"/>
              <w:rPr>
                <w:sz w:val="18"/>
                <w:szCs w:val="18"/>
                <w:color w:val="auto"/>
              </w:rPr>
            </w:pPr>
          </w:p>
        </w:tc>
      </w:tr>
      <w:tr>
        <w:trPr>
          <w:trHeight w:val="209"/>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21,657,908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15,040,831</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4,307,743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4,804,791</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102,612</w:t>
            </w:r>
          </w:p>
        </w:tc>
        <w:tc>
          <w:tcPr>
            <w:tcW w:w="100" w:type="dxa"/>
            <w:vAlign w:val="bottom"/>
          </w:tcPr>
          <w:p>
            <w:pPr>
              <w:spacing w:after="0"/>
              <w:rPr>
                <w:sz w:val="18"/>
                <w:szCs w:val="18"/>
                <w:color w:val="auto"/>
              </w:rPr>
            </w:pPr>
          </w:p>
        </w:tc>
      </w:tr>
      <w:tr>
        <w:trPr>
          <w:trHeight w:val="216"/>
        </w:trPr>
        <w:tc>
          <w:tcPr>
            <w:tcW w:w="7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8,843,549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8,638,609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34,809,200</w:t>
            </w:r>
          </w:p>
        </w:tc>
        <w:tc>
          <w:tcPr>
            <w:tcW w:w="14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28,589,614</w:t>
            </w:r>
          </w:p>
        </w:tc>
        <w:tc>
          <w:tcPr>
            <w:tcW w:w="10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627,185</w:t>
            </w:r>
          </w:p>
        </w:tc>
        <w:tc>
          <w:tcPr>
            <w:tcW w:w="14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1,154,369</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2,950,077</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116,314</w:t>
            </w:r>
          </w:p>
        </w:tc>
        <w:tc>
          <w:tcPr>
            <w:tcW w:w="100" w:type="dxa"/>
            <w:vAlign w:val="bottom"/>
          </w:tcPr>
          <w:p>
            <w:pPr>
              <w:spacing w:after="0"/>
              <w:rPr>
                <w:sz w:val="18"/>
                <w:szCs w:val="18"/>
                <w:color w:val="auto"/>
              </w:rPr>
            </w:pPr>
          </w:p>
        </w:tc>
      </w:tr>
      <w:tr>
        <w:trPr>
          <w:trHeight w:val="209"/>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1,513,309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4,220,760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1,169,675</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390,733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495,113</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3,701,492</w:t>
            </w:r>
          </w:p>
        </w:tc>
        <w:tc>
          <w:tcPr>
            <w:tcW w:w="100" w:type="dxa"/>
            <w:vAlign w:val="bottom"/>
          </w:tcPr>
          <w:p>
            <w:pPr>
              <w:spacing w:after="0"/>
              <w:rPr>
                <w:sz w:val="18"/>
                <w:szCs w:val="18"/>
                <w:color w:val="auto"/>
              </w:rPr>
            </w:pPr>
          </w:p>
        </w:tc>
      </w:tr>
      <w:tr>
        <w:trPr>
          <w:trHeight w:val="210"/>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5,385,256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9,587,040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5,377,329 and 1,978,460 shares issued and outstanding at March 31,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2026 and June 30, 2025, respectively</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 net of subscription receivable</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218,385,436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200,194,324</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(2,067,368)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(2,845,066)</w:t>
            </w: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(186,894,178)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(178,346,703)</w:t>
            </w:r>
          </w:p>
        </w:tc>
      </w:tr>
      <w:tr>
        <w:trPr>
          <w:trHeight w:val="210"/>
        </w:trPr>
        <w:tc>
          <w:tcPr>
            <w:tcW w:w="79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29,423,944</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19,002,574</w:t>
            </w:r>
          </w:p>
        </w:tc>
        <w:tc>
          <w:tcPr>
            <w:tcW w:w="100" w:type="dxa"/>
            <w:vAlign w:val="bottom"/>
            <w:tcBorders>
              <w:top w:val="single" w:sz="8" w:color="CFF0FC"/>
            </w:tcBorders>
          </w:tcPr>
          <w:p>
            <w:pPr>
              <w:spacing w:after="0"/>
              <w:rPr>
                <w:sz w:val="18"/>
                <w:szCs w:val="18"/>
                <w:color w:val="auto"/>
              </w:rPr>
            </w:pPr>
          </w:p>
        </w:tc>
      </w:tr>
      <w:tr>
        <w:trPr>
          <w:trHeight w:val="249"/>
        </w:trPr>
        <w:tc>
          <w:tcPr>
            <w:tcW w:w="79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34,809,200</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28,589,614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-2973705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-316230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Other Comprehensive Income (Loss)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20"/>
                <w:szCs w:val="20"/>
                <w:color w:val="auto"/>
              </w:rPr>
            </w:pPr>
          </w:p>
        </w:tc>
        <w:tc>
          <w:tcPr>
            <w:tcW w:w="260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 March 31,</w:t>
            </w:r>
          </w:p>
        </w:tc>
      </w:tr>
      <w:tr>
        <w:trPr>
          <w:trHeight w:val="223"/>
        </w:trPr>
        <w:tc>
          <w:tcPr>
            <w:tcW w:w="5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3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15,662,715</w:t>
            </w:r>
          </w:p>
        </w:tc>
        <w:tc>
          <w:tcPr>
            <w:tcW w:w="100" w:type="dxa"/>
            <w:vAlign w:val="bottom"/>
            <w:shd w:val="clear" w:color="auto" w:fill="CFF0FC"/>
          </w:tcPr>
          <w:p>
            <w:pPr>
              <w:spacing w:after="0"/>
              <w:rPr>
                <w:sz w:val="20"/>
                <w:szCs w:val="20"/>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(518,168)</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1,616,011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3,965,204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5,253,953</w:t>
            </w:r>
          </w:p>
        </w:tc>
        <w:tc>
          <w:tcPr>
            <w:tcW w:w="100" w:type="dxa"/>
            <w:vAlign w:val="bottom"/>
            <w:shd w:val="clear" w:color="auto" w:fill="CFF0FC"/>
          </w:tcPr>
          <w:p>
            <w:pPr>
              <w:spacing w:after="0"/>
              <w:rPr>
                <w:sz w:val="18"/>
                <w:szCs w:val="18"/>
                <w:color w:val="auto"/>
              </w:rPr>
            </w:pPr>
          </w:p>
        </w:tc>
      </w:tr>
      <w:tr>
        <w:trPr>
          <w:trHeight w:val="243"/>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1,687,403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1,406,796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5,681,361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5,702,807</w:t>
            </w:r>
          </w:p>
        </w:tc>
        <w:tc>
          <w:tcPr>
            <w:tcW w:w="100" w:type="dxa"/>
            <w:vAlign w:val="bottom"/>
          </w:tcPr>
          <w:p>
            <w:pPr>
              <w:spacing w:after="0"/>
              <w:rPr>
                <w:sz w:val="21"/>
                <w:szCs w:val="21"/>
                <w:color w:val="auto"/>
              </w:rPr>
            </w:pPr>
          </w:p>
        </w:tc>
      </w:tr>
      <w:tr>
        <w:trPr>
          <w:trHeight w:val="230"/>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1,278,586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1,211,649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3,022,807</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10,925,151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10,956,760</w:t>
            </w:r>
          </w:p>
        </w:tc>
        <w:tc>
          <w:tcPr>
            <w:tcW w:w="100" w:type="dxa"/>
            <w:vAlign w:val="bottom"/>
          </w:tcPr>
          <w:p>
            <w:pPr>
              <w:spacing w:after="0"/>
              <w:rPr>
                <w:sz w:val="18"/>
                <w:szCs w:val="18"/>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(1,211,649)</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11,977,193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(10,925,151)</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4,705,955</w:t>
            </w:r>
          </w:p>
        </w:tc>
        <w:tc>
          <w:tcPr>
            <w:tcW w:w="100" w:type="dxa"/>
            <w:vAlign w:val="bottom"/>
            <w:shd w:val="clear" w:color="auto" w:fill="CFF0FC"/>
          </w:tcPr>
          <w:p>
            <w:pPr>
              <w:spacing w:after="0"/>
              <w:rPr>
                <w:sz w:val="18"/>
                <w:szCs w:val="18"/>
                <w:color w:val="auto"/>
              </w:rPr>
            </w:pPr>
          </w:p>
        </w:tc>
      </w:tr>
      <w:tr>
        <w:trPr>
          <w:trHeight w:val="210"/>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5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186,171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495,478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79,452</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foreign currency transactions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(291,522)</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(488,916)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522,410</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incentive award</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341,951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820,910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301,006</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fair value adjustments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(976,678)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1,445,824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2,703,438</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671,793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(796,218)</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2,273,296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3,606,306</w:t>
            </w:r>
          </w:p>
        </w:tc>
        <w:tc>
          <w:tcPr>
            <w:tcW w:w="100" w:type="dxa"/>
            <w:vAlign w:val="bottom"/>
            <w:shd w:val="clear" w:color="auto" w:fill="CFF0FC"/>
          </w:tcPr>
          <w:p>
            <w:pPr>
              <w:spacing w:after="0"/>
              <w:rPr>
                <w:sz w:val="18"/>
                <w:szCs w:val="18"/>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(539,856)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11,180,975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(8,651,855)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8,312,261</w:t>
            </w:r>
          </w:p>
        </w:tc>
        <w:tc>
          <w:tcPr>
            <w:tcW w:w="10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104,380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(505,063)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11,262,161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(8,547,475)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8,514,025</w:t>
            </w:r>
          </w:p>
        </w:tc>
        <w:tc>
          <w:tcPr>
            <w:tcW w:w="100" w:type="dxa"/>
            <w:vAlign w:val="bottom"/>
          </w:tcPr>
          <w:p>
            <w:pPr>
              <w:spacing w:after="0"/>
              <w:rPr>
                <w:sz w:val="18"/>
                <w:szCs w:val="18"/>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foreign currency translation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(195,818)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(898,870)</w:t>
            </w:r>
          </w:p>
        </w:tc>
      </w:tr>
      <w:tr>
        <w:trPr>
          <w:trHeight w:val="20"/>
        </w:trPr>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157,897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(195,818)</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777,698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(898,870)</w:t>
            </w:r>
          </w:p>
        </w:tc>
      </w:tr>
      <w:tr>
        <w:trPr>
          <w:trHeight w:val="20"/>
        </w:trPr>
        <w:tc>
          <w:tcPr>
            <w:tcW w:w="524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5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(347,166)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11,066,343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(7,769,777)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7,615,155</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 basic and diluted</w:t>
            </w: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5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5,411,244</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1,719,073</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4,058,522</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1,530,091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-2622550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-2622550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-2622550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-2331085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-2331085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-2331085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-1490980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-1490980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-1490980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-1208405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-1208405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-1208405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-633730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-633730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-633730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00" w:type="dxa"/>
            <w:vAlign w:val="bottom"/>
            <w:gridSpan w:val="4"/>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7"/>
        </w:trPr>
        <w:tc>
          <w:tcPr>
            <w:tcW w:w="2960" w:type="dxa"/>
            <w:vAlign w:val="bottom"/>
          </w:tcPr>
          <w:p>
            <w:pPr>
              <w:spacing w:after="0"/>
              <w:rPr>
                <w:sz w:val="12"/>
                <w:szCs w:val="12"/>
                <w:color w:val="auto"/>
              </w:rPr>
            </w:pPr>
          </w:p>
        </w:tc>
        <w:tc>
          <w:tcPr>
            <w:tcW w:w="2000" w:type="dxa"/>
            <w:vAlign w:val="bottom"/>
            <w:tcBorders>
              <w:bottom w:val="single" w:sz="8" w:color="auto"/>
            </w:tcBorders>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Subscription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Shareholders'</w:t>
            </w: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94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Receivable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1,978,460</w:t>
            </w:r>
          </w:p>
        </w:tc>
        <w:tc>
          <w:tcPr>
            <w:tcW w:w="360" w:type="dxa"/>
            <w:vAlign w:val="bottom"/>
            <w:gridSpan w:val="2"/>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(94,685)</w:t>
            </w: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200,289,009</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(2,845,066)</w:t>
            </w:r>
          </w:p>
        </w:tc>
        <w:tc>
          <w:tcPr>
            <w:tcW w:w="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(178,346,703)</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19,002,574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960" w:type="dxa"/>
            <w:vAlign w:val="bottom"/>
            <w:tcBorders>
              <w:top w:val="single" w:sz="8" w:color="CFF0FC"/>
            </w:tcBorders>
          </w:tcPr>
          <w:p>
            <w:pPr>
              <w:spacing w:after="0" w:line="110" w:lineRule="exact"/>
              <w:rPr>
                <w:sz w:val="20"/>
                <w:szCs w:val="20"/>
                <w:color w:val="auto"/>
              </w:rPr>
            </w:pPr>
            <w:r>
              <w:rPr>
                <w:rFonts w:ascii="Times New Roman" w:cs="Times New Roman" w:eastAsia="Times New Roman" w:hAnsi="Times New Roman"/>
                <w:sz w:val="12"/>
                <w:szCs w:val="12"/>
                <w:color w:val="auto"/>
              </w:rPr>
              <w:t>Issuance of common stock in connection with our ATM</w:t>
            </w: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facility, net of offering costs of $0.1 million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379,153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3,158,930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3,158,934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Collection of subscription receivable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94,685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94,685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111,277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49,221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49,221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(9,906,504)</w:t>
            </w: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(9,906,504)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2,357,613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203,559,216</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(2,795,845)</w:t>
            </w:r>
          </w:p>
        </w:tc>
        <w:tc>
          <w:tcPr>
            <w:tcW w:w="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(188,253,207)</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12,510,187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960" w:type="dxa"/>
            <w:vAlign w:val="bottom"/>
            <w:tcBorders>
              <w:top w:val="single" w:sz="8" w:color="CFF0FC"/>
            </w:tcBorders>
          </w:tcPr>
          <w:p>
            <w:pPr>
              <w:spacing w:after="0" w:line="110" w:lineRule="exact"/>
              <w:rPr>
                <w:sz w:val="20"/>
                <w:szCs w:val="20"/>
                <w:color w:val="auto"/>
              </w:rPr>
            </w:pPr>
            <w:r>
              <w:rPr>
                <w:rFonts w:ascii="Times New Roman" w:cs="Times New Roman" w:eastAsia="Times New Roman" w:hAnsi="Times New Roman"/>
                <w:sz w:val="12"/>
                <w:szCs w:val="12"/>
                <w:color w:val="auto"/>
              </w:rPr>
              <w:t>Issuance of common stock in connection with our ATM</w:t>
            </w: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facility, net of offering costs of $0.5 million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3,019,716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14,662,233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14,662,264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93,701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93,701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570,580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570,580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1,864,092</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1,864,092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5,377,329</w:t>
            </w:r>
          </w:p>
        </w:tc>
        <w:tc>
          <w:tcPr>
            <w:tcW w:w="36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54</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218,315,150</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(2,225,265)</w:t>
            </w: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(186,389,115)</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29,700,824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70,286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70,286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157,897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157,897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(505,063)</w:t>
            </w: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(505,063)</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5,377,329</w:t>
            </w: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54</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218,385,436</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(2,067,368)</w:t>
            </w: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(186,894,178)</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29,423,944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1,103,954</w:t>
            </w:r>
          </w:p>
        </w:tc>
        <w:tc>
          <w:tcPr>
            <w:tcW w:w="36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198,481,027</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(3,013,595)</w:t>
            </w: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(177,977,071)</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17,490,372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Exercise of pre-funded ADS warrants</w:t>
            </w:r>
          </w:p>
        </w:tc>
        <w:tc>
          <w:tcPr>
            <w:tcW w:w="9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339,408</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406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 issue costs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(227,747)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(227,747)</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26,736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26,736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585,381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585,381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(804,787)</w:t>
            </w: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(804,787)</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1,443,362</w:t>
            </w: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198,280,422</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(2,428,214)</w:t>
            </w: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(178,781,858)</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17,070,364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Exercise of pre-funded ADS warrants</w:t>
            </w:r>
          </w:p>
        </w:tc>
        <w:tc>
          <w:tcPr>
            <w:tcW w:w="9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185,297</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 issue costs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(111,777)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(111,777)</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20,970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20,970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(1,288,433)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(1,288,433)</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(1,943,349)</w:t>
            </w: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(1,943,349)</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1,628,659</w:t>
            </w: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198,189,833</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(3,716,647)</w:t>
            </w: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(180,725,207)</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13,747,995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96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Issuance of ADS shares, net of issuance costs of</w:t>
            </w:r>
          </w:p>
        </w:tc>
        <w:tc>
          <w:tcPr>
            <w:tcW w:w="9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9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0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$0.1 million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225,307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1,162,501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1,162,504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20,466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(195,818)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(195,818)</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11,262,161</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11,262,161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1,853,966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199,372,800</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(3,912,465)</w:t>
            </w:r>
          </w:p>
        </w:tc>
        <w:tc>
          <w:tcPr>
            <w:tcW w:w="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(169,463,046)</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25,997,308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-3333750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-3333750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-3333750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-3333750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-3333750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-3333750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-2717165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-2717165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-2717165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-2717165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-2717165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-2717165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-2717165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-2279650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-2279650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-2279650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-2279650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-2279650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-2279650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-1919605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-1919605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-1919605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-1919605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-1919605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-1919605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-1713865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-1713865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-1713865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-1713865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-1713865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-1713865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-1182370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-1182370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-1182370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-1182370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-1182370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-1182370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-650875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-650875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-650875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-650875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-650875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-650875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09"/>
        </w:trPr>
        <w:tc>
          <w:tcPr>
            <w:tcW w:w="80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(8,547,475)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8,514,025</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65,505</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497,265</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Non-cash rent expense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91,762</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accompanying warrant liability</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(1,244,117)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(2,770,375)</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(145,836)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66,937</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remeasurement</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(239,759)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(633,539)</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non-trade</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(1,593,392)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102,292</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437,868</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(527,184)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(1,498,326)</w:t>
            </w: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(2,063,953)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(778,432)</w:t>
            </w: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(116,314)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(98,558)</w:t>
            </w: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(104,380)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(201,803)</w:t>
            </w: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(133,080)</w:t>
            </w: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8"/>
                <w:szCs w:val="18"/>
                <w:color w:val="auto"/>
              </w:rPr>
            </w:pPr>
          </w:p>
        </w:tc>
      </w:tr>
      <w:tr>
        <w:trPr>
          <w:trHeight w:val="209"/>
        </w:trPr>
        <w:tc>
          <w:tcPr>
            <w:tcW w:w="8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(13,566,928)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3,662,302</w:t>
            </w:r>
          </w:p>
        </w:tc>
        <w:tc>
          <w:tcPr>
            <w:tcW w:w="100" w:type="dxa"/>
            <w:vAlign w:val="bottom"/>
            <w:shd w:val="clear" w:color="auto" w:fill="CFF0FC"/>
          </w:tcPr>
          <w:p>
            <w:pPr>
              <w:spacing w:after="0"/>
              <w:rPr>
                <w:sz w:val="18"/>
                <w:szCs w:val="18"/>
                <w:color w:val="auto"/>
              </w:rPr>
            </w:pPr>
          </w:p>
        </w:tc>
      </w:tr>
      <w:tr>
        <w:trPr>
          <w:trHeight w:val="210"/>
        </w:trPr>
        <w:tc>
          <w:tcPr>
            <w:tcW w:w="8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sale of equity, net of issuance costs of $0.6 million</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17,915,883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Proceeds from the sale of equity, net of issuance costs of $0.4 million</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823,601</w:t>
            </w:r>
          </w:p>
        </w:tc>
        <w:tc>
          <w:tcPr>
            <w:tcW w:w="100" w:type="dxa"/>
            <w:vAlign w:val="bottom"/>
            <w:tcBorders>
              <w:bottom w:val="single" w:sz="8" w:color="CFF0FC"/>
            </w:tcBorders>
          </w:tcPr>
          <w:p>
            <w:pPr>
              <w:spacing w:after="0"/>
              <w:rPr>
                <w:sz w:val="18"/>
                <w:szCs w:val="18"/>
                <w:color w:val="auto"/>
              </w:rPr>
            </w:pPr>
          </w:p>
        </w:tc>
      </w:tr>
      <w:tr>
        <w:trPr>
          <w:trHeight w:val="210"/>
        </w:trPr>
        <w:tc>
          <w:tcPr>
            <w:tcW w:w="80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17,915,883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changes in cash, cash equivalents, and restricted cash</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(53,356)</w:t>
            </w:r>
          </w:p>
        </w:tc>
      </w:tr>
      <w:tr>
        <w:trPr>
          <w:trHeight w:val="210"/>
        </w:trPr>
        <w:tc>
          <w:tcPr>
            <w:tcW w:w="8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5,151,965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4,432,547</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14,288,690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12,686,935</w:t>
            </w:r>
          </w:p>
        </w:tc>
        <w:tc>
          <w:tcPr>
            <w:tcW w:w="100" w:type="dxa"/>
            <w:vAlign w:val="bottom"/>
          </w:tcPr>
          <w:p>
            <w:pPr>
              <w:spacing w:after="0"/>
              <w:rPr>
                <w:sz w:val="18"/>
                <w:szCs w:val="18"/>
                <w:color w:val="auto"/>
              </w:rPr>
            </w:pPr>
          </w:p>
        </w:tc>
      </w:tr>
      <w:tr>
        <w:trPr>
          <w:trHeight w:val="249"/>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19,440,655</w:t>
            </w:r>
          </w:p>
        </w:tc>
        <w:tc>
          <w:tcPr>
            <w:tcW w:w="14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17,119,482</w:t>
            </w:r>
          </w:p>
        </w:tc>
        <w:tc>
          <w:tcPr>
            <w:tcW w:w="100" w:type="dxa"/>
            <w:vAlign w:val="bottom"/>
            <w:shd w:val="clear" w:color="auto" w:fill="CFF0FC"/>
          </w:tcPr>
          <w:p>
            <w:pPr>
              <w:spacing w:after="0"/>
              <w:rPr>
                <w:sz w:val="21"/>
                <w:szCs w:val="21"/>
                <w:color w:val="auto"/>
              </w:rPr>
            </w:pPr>
          </w:p>
        </w:tc>
      </w:tr>
      <w:tr>
        <w:trPr>
          <w:trHeight w:val="197"/>
        </w:trPr>
        <w:tc>
          <w:tcPr>
            <w:tcW w:w="80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19,440,655</w:t>
            </w:r>
          </w:p>
        </w:tc>
        <w:tc>
          <w:tcPr>
            <w:tcW w:w="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17,044,750</w:t>
            </w:r>
          </w:p>
        </w:tc>
        <w:tc>
          <w:tcPr>
            <w:tcW w:w="100" w:type="dxa"/>
            <w:vAlign w:val="bottom"/>
          </w:tcPr>
          <w:p>
            <w:pPr>
              <w:spacing w:after="0"/>
              <w:rPr>
                <w:sz w:val="18"/>
                <w:szCs w:val="18"/>
                <w:color w:val="auto"/>
              </w:rPr>
            </w:pPr>
          </w:p>
        </w:tc>
      </w:tr>
      <w:tr>
        <w:trPr>
          <w:trHeight w:val="216"/>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19,440,655</w:t>
            </w:r>
          </w:p>
        </w:tc>
        <w:tc>
          <w:tcPr>
            <w:tcW w:w="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17,119,482</w:t>
            </w:r>
          </w:p>
        </w:tc>
        <w:tc>
          <w:tcPr>
            <w:tcW w:w="10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-1885315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-1477645</wp:posOffset>
            </wp:positionV>
            <wp:extent cx="9398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-1477645</wp:posOffset>
            </wp:positionV>
            <wp:extent cx="9398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-745490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-728345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Neuphoria Therapeutics Inc. (“the Company”) is a public company incorporated in Delaware. The Company is a clinical-stage biotechnology company dedicated to developing therapies that address the complex needs of individuals affected by neuropsychiatric disorders. Neuphoria's lead drug candidate, BNC210, an oral, proprietary, selective negative allosteric modulator of the α7 nicotinic acetylcholine receptor for the treatment of post-traumatic stress disorder ("PTSD"). BNC210 is a first-of-its-kind, broad spectrum anti-anxiety experimental therapeutic, designed to restore neurotransmitter balance in relevant brain areas, providing rapid relief from stress and anxiety symptoms without the common pitfalls of sedation, cognitive impairment, or addiction.</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the Company has a strategic partnership with Merck &amp; Co., Inc. ("Merck") with two clinical candidates in early-stage clinical trials for the treatment of cognitive deficits in Alzheimer’s disease and other central nervous system conditions. The Company's pipeline also includes the α7 nicotinic acetylcholine receptor next generation and the Kv3.1/3.2 preclinical programs, both in the lead optimization development stage.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entity structure at the end of the reporting period are as follows (post-redomiciliation):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Entity</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 of Incorporation</w:t>
            </w: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Neuphoria Therapeutics Inc.</w:t>
            </w:r>
          </w:p>
        </w:tc>
        <w:tc>
          <w:tcPr>
            <w:tcW w:w="200" w:type="dxa"/>
            <w:vAlign w:val="bottom"/>
            <w:shd w:val="clear" w:color="auto" w:fill="CFF0FC"/>
          </w:tcPr>
          <w:p>
            <w:pPr>
              <w:spacing w:after="0"/>
              <w:rPr>
                <w:sz w:val="18"/>
                <w:szCs w:val="18"/>
                <w:color w:val="auto"/>
              </w:rPr>
            </w:pPr>
          </w:p>
        </w:tc>
        <w:tc>
          <w:tcPr>
            <w:tcW w:w="3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Parent</w:t>
            </w:r>
          </w:p>
        </w:tc>
        <w:tc>
          <w:tcPr>
            <w:tcW w:w="20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Bionomics Limited</w:t>
            </w:r>
          </w:p>
        </w:tc>
        <w:tc>
          <w:tcPr>
            <w:tcW w:w="2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Subsidiary</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Bionomics, Inc.</w:t>
            </w:r>
          </w:p>
        </w:tc>
        <w:tc>
          <w:tcPr>
            <w:tcW w:w="200" w:type="dxa"/>
            <w:vAlign w:val="bottom"/>
            <w:shd w:val="clear" w:color="auto" w:fill="CFF0FC"/>
          </w:tcPr>
          <w:p>
            <w:pPr>
              <w:spacing w:after="0"/>
              <w:rPr>
                <w:sz w:val="18"/>
                <w:szCs w:val="18"/>
                <w:color w:val="auto"/>
              </w:rPr>
            </w:pPr>
          </w:p>
        </w:tc>
        <w:tc>
          <w:tcPr>
            <w:tcW w:w="3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Subsidiary</w:t>
            </w:r>
          </w:p>
        </w:tc>
        <w:tc>
          <w:tcPr>
            <w:tcW w:w="20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20, 2025, the Company announced that the AFFIRM-1 Phase 3 trial of BNC210 for the acute treatment of social anxiety disorder did not meet its primary endpoint. Based on these results, the Company announced that it has discontinued the BNC210 SAD program and has paused the BNC210 PTSD program while it continues to undertake a comprehensive strategic review of its operations and portfolio. During the three and nine months ended March 31, 2026, the Company terminated all but one employee, terminated its facility leases, and cancelled or paused, as applicable, its research and development activities while it seeks to identify a partner with which to execute a strategic merger and/or such other transaction(s), if any, for the benefit of existing shareholders of Neuphoria. See Note 3 for more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working capital of $20.1 million, an accumulated deficit of $186.9 million, and cash and cash equivalents of $19.4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products. As a result of these and other factors and the related uncertainties, there can be no assurance of the Company’s future success.</w:t>
      </w:r>
    </w:p>
    <w:p>
      <w:pPr>
        <w:spacing w:after="0" w:line="70"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has evaluated whether there are conditions and events, considered in the aggregate, that raise substantial doubt about the Company’s ability to continue as a going concern within one year after the date these condensed consolidated financial statements are issued. The Company incurred a net loss of $0.5 million and generated net income of $11.3 million for the three months ended March 31, 2026 and 2025, respectively, and incurred a net loss of $8.5 million and generated net income of $8.5 million for the nine months ended March 31, 2026 and 2025, respectively. The Company also had $13.6 million of cash used in operating activities during the nine months ended March 31, 2026.</w:t>
      </w:r>
    </w:p>
    <w:p>
      <w:pPr>
        <w:spacing w:after="0" w:line="7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upon the Company’s current operating plans reflective of recent cost curtailments, the Company believes that its existing cash and cash equivalents will be sufficient to continue funding its operating activities beyond the fourth quarter of fiscal year 2027, which is more than twelve months from the date these condensed consolidated financial statements are issued. Consequently, management has determined there is no substantial doubt regarding the Company's ability to continue as a going concern for the twelve-month period from the date these financial statements are issued.</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U.S. (“U.S. GAAP” or “GAAP”) and include the accounts of our wholly owned subsidiaries. All intercompany balances and transactions have been eliminated in consolidation.</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June 30, 2025 was derived from audited financial statements but does not include all disclosures required by accounting principles generally accepted in the United States of America. The accompanying condensed consolidated financial statements, as of March 31, 2026 and for the three and nine months ended March 31, 2026, are unaudited and have been prepared by the Company pursuant to the rules and regulations of the Securities and Exchange Commission (the “SEC”) for interim financial statements. Certain information and footnote disclosures normally included in financial statements prepared in accordance with GAAP have been condensed or omitted pursuant to such rules and regulations. The Company believes that the disclosures are adequate to make the information presented not misleading.</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the notes thereto for the year ended June 30, 2025 included in the Company’s Annual Report on Form 10-K for the year ended June 30, 2025 filed with the SEC on September 29, 2025. In the opinion of management, all adjustments, consisting only of normal recurring adjustments, as necessary for the fair statement of the Company’s financial position as of March 31, 2026, results of its operations for the three and nine months ended March 31, 2026, shareholders’ equity for the three and nine months ended March 31, 2026, and cash flows for the nine months ended March 31, 2026, have been made. The results of operations for the three and nine months ended March 31, 2026 are not necessarily indicative of the results of operations to be expected for the year ending June 30,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and disclosure of revenue, expenses, and certain assets and liabilities at the balance sheet date. Such estimates include the performance obligations under the Company’s license agreements, the valuation of goodwill and intangibles, accruals, and determining the fair value of contingent consideration and the warrant liability. Although the estimates and assumptions are based on the Company’s knowledge of current events and actions the Company may undertake in the future, actual results may ultimately materially differ from the estimates and assumptions.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(“CODM”) in deciding how to allocate resources and in assessing performance. The CODM of the Company is the Interim Chief Executive Officer. The Company operates as a single operating and reporting segment focused on the discovery and development of allosteric ion channel modulators designed to transform the lives of patients suffering from serious central nervous system disorders with high unmet medical need. The CODM evaluates the operating performance based on net income (loss) as reported on the condensed consolidated statement of operations. The measure of the operating segment assets is reported on the condensed consolidated balance sheet as total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were no changes to significant accounting policies during the nine months ended March 31, 2026, as compared to those identified in the fiscal year 2025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This standard is effective for the Company's fiscal year ending June 30, 2026. The Company is evaluating the disclosure requirements related to the new standard but adoption of this standard is not expected to have a material impact on the Company's consolidated financial statements.</w:t>
      </w:r>
    </w:p>
    <w:p>
      <w:pPr>
        <w:spacing w:after="0" w:line="7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ASU 2024-03 requires public business entities to disclose in the notes to the financial statements, among other things, specific information about certain costs and expenses, including purchases of inventory, employee compensation, depreciation, amortization, and depletion expenses for each caption on the income statement where such expenses are included. ASU 2024-03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evaluating the disclosure requirements related to the new standard.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3. Restructuring Costs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October 2025, Management committed to a plan to discontinue or pause, with respect to BNC210 in SAD and PTSD, its research and development activities while it seeks to identify a partner with which to execute a strategic merger and/or such other transaction(s), if any, for the benefit of existing shareholders of Neuphoria. As part of the restructuring initiative, the Company terminated its facility leases, wrote off the remaining carrying value of the right-of-use asset, derecognized the associated operating lease liability, and terminated substantially all of its employees. A liability equivalent to the derecognized lease liability has been included in Accrued restructuring expenses (see Notes 6 and 9). The write-offs are included in Restructuring costs in the condensed consolidated statements of operations and other comprehensive income (loss) for the three and nine months ended March 31, 2026.</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Included in total restructuring costs are the following expenses: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2"/>
        </w:trPr>
        <w:tc>
          <w:tcPr>
            <w:tcW w:w="7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60" w:type="dxa"/>
            <w:vAlign w:val="bottom"/>
          </w:tcPr>
          <w:p>
            <w:pPr>
              <w:spacing w:after="0"/>
              <w:rPr>
                <w:sz w:val="18"/>
                <w:szCs w:val="18"/>
                <w:color w:val="auto"/>
              </w:rPr>
            </w:pP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7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1,411,955</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right-of-use asset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47,608</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restructuring costs</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437,994</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Refundable credits on contract terminations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(618,971)</w:t>
            </w:r>
          </w:p>
        </w:tc>
      </w:tr>
      <w:tr>
        <w:trPr>
          <w:trHeight w:val="20"/>
        </w:trPr>
        <w:tc>
          <w:tcPr>
            <w:tcW w:w="7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1,278,586</w:t>
            </w:r>
          </w:p>
        </w:tc>
        <w:tc>
          <w:tcPr>
            <w:tcW w:w="120" w:type="dxa"/>
            <w:vAlign w:val="bottom"/>
            <w:shd w:val="clear" w:color="auto" w:fill="CFF0FC"/>
          </w:tcPr>
          <w:p>
            <w:pPr>
              <w:spacing w:after="0"/>
              <w:rPr>
                <w:sz w:val="19"/>
                <w:szCs w:val="19"/>
                <w:color w:val="auto"/>
              </w:rPr>
            </w:pPr>
          </w:p>
        </w:tc>
      </w:tr>
      <w:tr>
        <w:trPr>
          <w:trHeight w:val="20"/>
        </w:trPr>
        <w:tc>
          <w:tcPr>
            <w:tcW w:w="76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reserves included in Accrued expenses and other current liabilities on the condensed consolidated balance sheet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Restructuring</w:t>
            </w:r>
          </w:p>
        </w:tc>
      </w:tr>
      <w:tr>
        <w:trPr>
          <w:trHeight w:val="238"/>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Costs</w:t>
            </w:r>
          </w:p>
        </w:tc>
      </w:tr>
      <w:tr>
        <w:trPr>
          <w:trHeight w:val="209"/>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liability at September 30, 2025</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1,236,172</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payments</w:t>
            </w: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(973,326)</w:t>
            </w:r>
          </w:p>
        </w:tc>
      </w:tr>
      <w:tr>
        <w:trPr>
          <w:trHeight w:val="209"/>
        </w:trPr>
        <w:tc>
          <w:tcPr>
            <w:tcW w:w="9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Restructuring liability at December 31, 2025</w:t>
            </w: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262,846</w:t>
            </w:r>
          </w:p>
        </w:tc>
        <w:tc>
          <w:tcPr>
            <w:tcW w:w="120" w:type="dxa"/>
            <w:vAlign w:val="bottom"/>
            <w:tcBorders>
              <w:top w:val="single" w:sz="8" w:color="CFF0FC"/>
            </w:tcBorders>
          </w:tcPr>
          <w:p>
            <w:pPr>
              <w:spacing w:after="0"/>
              <w:rPr>
                <w:sz w:val="18"/>
                <w:szCs w:val="18"/>
                <w:color w:val="auto"/>
              </w:rPr>
            </w:pPr>
          </w:p>
        </w:tc>
      </w:tr>
      <w:tr>
        <w:trPr>
          <w:trHeight w:val="216"/>
        </w:trPr>
        <w:tc>
          <w:tcPr>
            <w:tcW w:w="9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42,414</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payments</w:t>
            </w:r>
          </w:p>
        </w:tc>
        <w:tc>
          <w:tcPr>
            <w:tcW w:w="26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(115,664)</w:t>
            </w:r>
          </w:p>
        </w:tc>
      </w:tr>
      <w:tr>
        <w:trPr>
          <w:trHeight w:val="250"/>
        </w:trPr>
        <w:tc>
          <w:tcPr>
            <w:tcW w:w="9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liability at March 31, 2026</w:t>
            </w: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189,596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 following tables set forth the fair value of the Company’s liabilities at fair value on a recurring basis based on the three-tier fair value hierarchy: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8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1,023,839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1,023,839</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2,457,375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2,457,375</w:t>
            </w:r>
          </w:p>
        </w:tc>
      </w:tr>
      <w:tr>
        <w:trPr>
          <w:trHeight w:val="20"/>
        </w:trPr>
        <w:tc>
          <w:tcPr>
            <w:tcW w:w="58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3,481,214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3,481,214</w:t>
            </w:r>
          </w:p>
        </w:tc>
      </w:tr>
      <w:tr>
        <w:trPr>
          <w:trHeight w:val="20"/>
        </w:trPr>
        <w:tc>
          <w:tcPr>
            <w:tcW w:w="5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8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1,169,675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1,169,675</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3,701,492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3,701,492</w:t>
            </w:r>
          </w:p>
        </w:tc>
      </w:tr>
      <w:tr>
        <w:trPr>
          <w:trHeight w:val="20"/>
        </w:trPr>
        <w:tc>
          <w:tcPr>
            <w:tcW w:w="58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4,871,167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4,871,167</w:t>
            </w:r>
          </w:p>
        </w:tc>
      </w:tr>
      <w:tr>
        <w:trPr>
          <w:trHeight w:val="20"/>
        </w:trPr>
        <w:tc>
          <w:tcPr>
            <w:tcW w:w="5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 has no financial assets that are measured at fair value. The liabilities measured at fair value at March 31, 2026 and June 30, 2025 are contingent consideration and the accompanying warrant liability. The value of financial assets and other financial liabilities approximate their fair value.</w:t>
      </w:r>
    </w:p>
    <w:p>
      <w:pPr>
        <w:spacing w:after="0" w:line="3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accompanying warrants liability relates to the Company’s issuance of accompanying warrants in conjunction with a Private Placement in June 2024. The fair value of the accompanying warrants liability was based on valuations that required inputs that were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ind w:right="100"/>
        <w:spacing w:after="0" w:line="282" w:lineRule="auto"/>
        <w:rPr>
          <w:sz w:val="20"/>
          <w:szCs w:val="20"/>
          <w:color w:val="auto"/>
        </w:rPr>
      </w:pPr>
      <w:r>
        <w:rPr>
          <w:rFonts w:ascii="Times New Roman" w:cs="Times New Roman" w:eastAsia="Times New Roman" w:hAnsi="Times New Roman"/>
          <w:sz w:val="18"/>
          <w:szCs w:val="18"/>
          <w:color w:val="auto"/>
        </w:rPr>
        <w:t>both significant to the fair value measurement and unobservable. This approach resulted in a classification of the accompanying warrants liability as Level 3 of the fair value hierarchy. See Note 16 for additional disclosure related to contingent consideration.</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fair value of the contingent consideration and the accompanying warrants liability, for which each fair value was determined by Level 3 inputs: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Freestanding</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Financial</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Accompanying</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 a Business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38"/>
        </w:trPr>
        <w:tc>
          <w:tcPr>
            <w:tcW w:w="7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20"/>
                <w:szCs w:val="20"/>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1,169,675</w:t>
            </w:r>
          </w:p>
        </w:tc>
        <w:tc>
          <w:tcPr>
            <w:tcW w:w="160" w:type="dxa"/>
            <w:vAlign w:val="bottom"/>
            <w:tcBorders>
              <w:right w:val="single" w:sz="8" w:color="CFF0FC"/>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3,701,492</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net of foreign currency effect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(145,836)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(1,244,117)</w:t>
            </w:r>
          </w:p>
        </w:tc>
      </w:tr>
      <w:tr>
        <w:trPr>
          <w:trHeight w:val="20"/>
        </w:trPr>
        <w:tc>
          <w:tcPr>
            <w:tcW w:w="7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1,023,839</w:t>
            </w:r>
          </w:p>
        </w:tc>
        <w:tc>
          <w:tcPr>
            <w:tcW w:w="160" w:type="dxa"/>
            <w:vAlign w:val="bottom"/>
            <w:tcBorders>
              <w:right w:val="single" w:sz="8" w:color="CFF0FC"/>
            </w:tcBorders>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2,457,375</w:t>
            </w:r>
          </w:p>
        </w:tc>
        <w:tc>
          <w:tcPr>
            <w:tcW w:w="100" w:type="dxa"/>
            <w:vAlign w:val="bottom"/>
            <w:shd w:val="clear" w:color="auto" w:fill="CFF0FC"/>
          </w:tcPr>
          <w:p>
            <w:pPr>
              <w:spacing w:after="0"/>
              <w:rPr>
                <w:sz w:val="21"/>
                <w:szCs w:val="21"/>
                <w:color w:val="auto"/>
              </w:rPr>
            </w:pPr>
          </w:p>
        </w:tc>
      </w:tr>
      <w:tr>
        <w:trPr>
          <w:trHeight w:val="390"/>
        </w:trPr>
        <w:tc>
          <w:tcPr>
            <w:tcW w:w="76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Freestanding</w:t>
            </w:r>
          </w:p>
        </w:tc>
        <w:tc>
          <w:tcPr>
            <w:tcW w:w="100" w:type="dxa"/>
            <w:vAlign w:val="bottom"/>
            <w:tcBorders>
              <w:top w:val="single" w:sz="8" w:color="CFF0FC"/>
            </w:tcBorders>
          </w:tcPr>
          <w:p>
            <w:pPr>
              <w:spacing w:after="0"/>
              <w:rPr>
                <w:sz w:val="24"/>
                <w:szCs w:val="24"/>
                <w:color w:val="auto"/>
              </w:rPr>
            </w:pP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Financial</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Accompanying</w:t>
            </w:r>
          </w:p>
        </w:tc>
      </w:t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in a Business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38"/>
        </w:trPr>
        <w:tc>
          <w:tcPr>
            <w:tcW w:w="7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26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20"/>
                <w:szCs w:val="20"/>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587,762</w:t>
            </w: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8"/>
                <w:szCs w:val="18"/>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4,657,832</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milestone obligation to Eclipse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net of foreign currency effect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37,103</w:t>
            </w: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(2,770,375)</w:t>
            </w:r>
          </w:p>
        </w:tc>
      </w:tr>
      <w:tr>
        <w:trPr>
          <w:trHeight w:val="20"/>
        </w:trPr>
        <w:tc>
          <w:tcPr>
            <w:tcW w:w="76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1,887,457</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-1576705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-1559560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between levels during the periods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Accounts Receivable, Non-trade</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non-trade consist of the following:</w:t>
            </w: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5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5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Refundable credits on contract terminations (see Note 3)</w:t>
            </w:r>
          </w:p>
        </w:tc>
        <w:tc>
          <w:tcPr>
            <w:tcW w:w="2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791,477</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807,945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GST receivables</w:t>
            </w:r>
          </w:p>
        </w:tc>
        <w:tc>
          <w:tcPr>
            <w:tcW w:w="1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00" w:type="dxa"/>
            <w:vAlign w:val="bottom"/>
          </w:tcPr>
          <w:p>
            <w:pPr>
              <w:spacing w:after="0"/>
              <w:rPr>
                <w:sz w:val="18"/>
                <w:szCs w:val="18"/>
                <w:color w:val="auto"/>
              </w:rPr>
            </w:pPr>
          </w:p>
        </w:tc>
      </w:tr>
      <w:tr>
        <w:trPr>
          <w:trHeight w:val="230"/>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accounts receivable, non-trade</w:t>
            </w:r>
          </w:p>
        </w:tc>
        <w:tc>
          <w:tcPr>
            <w:tcW w:w="2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1,605,340</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shd w:val="clear" w:color="auto" w:fill="CFF0FC"/>
          </w:tcPr>
          <w:p>
            <w:pPr>
              <w:spacing w:after="0"/>
              <w:rPr>
                <w:sz w:val="19"/>
                <w:szCs w:val="19"/>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2021, the Company entered into a 5-year lease agreement (the “Greenhill Lease”) for its Australian facility located in Dulwich, South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expires according to its terms in May 2026.</w:t>
      </w:r>
    </w:p>
    <w:p>
      <w:pPr>
        <w:spacing w:after="0" w:line="97"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recognizing right-of-use ("ROU") assets and corresponding lease liabilities for operating leases on the condensed consolidated balance sheet. The ROU asset is initially measured based on the present value of future lease payments and subsequently amortized over the lease term.</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October 2025, the Company committed to a plan to exit its Australian facility as part of a restructuring plan as approved by the Company's board of directors (see Note 1 and Note 3). The leased facility ceased being used for any business purpose; the Company has not, nor does not intend to sublease the space. Accordingly, under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and ASC 842, the carrying value of the associated right-of-use asset was evaluated for abandonment, and the remaining carrying amount of less than $0.1 million was derecognized. The lease liability of approximately $0.1 million was also derecognized.</w:t>
      </w:r>
    </w:p>
    <w:p>
      <w:pPr>
        <w:spacing w:after="0" w:line="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resulting write-off of the right-of-use asset is recorded in Restructuring costs in the condensed consolidated statements of operations and other comprehensive income (loss) for the nine months ended March 31,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expense for the premises primarily consisted of common area maintenance and other operating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recognition of the Greenhill Lease including the remaining lease payments through the end of the expected lease term, all of which are reflected in accrued restructuring expenses at March 31, 2026 (see Note 9):</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9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0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fiscal year 2026</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21,061</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derecognized lease liability included in accrued restructuring expenses</w:t>
            </w:r>
          </w:p>
        </w:tc>
        <w:tc>
          <w:tcPr>
            <w:tcW w:w="3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(21,061)</w:t>
            </w:r>
          </w:p>
        </w:tc>
      </w:tr>
      <w:tr>
        <w:trPr>
          <w:trHeight w:val="249"/>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discount rate associated with the Company’s operating lease was 3.5% and the weighted average remaining lease term for the remaining lease payments was approximately 0.2 years at March 31, 2026.</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condensed consolidated statements of operations and other comprehensive income (loss) prior to the above-referenced restructuring event: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00" w:type="dxa"/>
            <w:vAlign w:val="bottom"/>
          </w:tcPr>
          <w:p>
            <w:pPr>
              <w:spacing w:after="0"/>
              <w:rPr>
                <w:sz w:val="20"/>
                <w:szCs w:val="20"/>
                <w:color w:val="auto"/>
              </w:rPr>
            </w:pPr>
          </w:p>
        </w:tc>
        <w:tc>
          <w:tcPr>
            <w:tcW w:w="26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10"/>
        </w:trPr>
        <w:tc>
          <w:tcPr>
            <w:tcW w:w="59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28,749</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44,148</w:t>
            </w:r>
          </w:p>
        </w:tc>
        <w:tc>
          <w:tcPr>
            <w:tcW w:w="12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31,789</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93,875</w:t>
            </w:r>
          </w:p>
        </w:tc>
        <w:tc>
          <w:tcPr>
            <w:tcW w:w="1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-170815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carrying value of goodwill for the nine months ended March 31, 2026 and 2025: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2025</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8,638,609</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differences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204,940</w:t>
            </w:r>
          </w:p>
        </w:tc>
        <w:tc>
          <w:tcPr>
            <w:tcW w:w="120" w:type="dxa"/>
            <w:vAlign w:val="bottom"/>
          </w:tcPr>
          <w:p>
            <w:pPr>
              <w:spacing w:after="0"/>
              <w:rPr>
                <w:sz w:val="18"/>
                <w:szCs w:val="18"/>
                <w:color w:val="auto"/>
              </w:rPr>
            </w:pP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March 31, 2026</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8,843,549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9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2024</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8,690,018</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differences</w:t>
            </w:r>
          </w:p>
        </w:tc>
        <w:tc>
          <w:tcPr>
            <w:tcW w:w="6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(238,980)</w:t>
            </w: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March 31, 2025</w:t>
            </w: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8,451,038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at the reporting unit on an annual basis during the fourth quarter, and when events or changes in circumstances indicate that a reduction in the carrying value may not be recoverable. The reporting unit has been identified as the drug development business unit.</w:t>
      </w:r>
    </w:p>
    <w:p>
      <w:pPr>
        <w:spacing w:after="0" w:line="6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As a result of the Company’s restructuring during the three months ended December 31, 2025, the Company engaged a qualified third-party valuation expert to perform an Appraisal Engagement which concluded the fair value of goodwill and the Company's equity exceeded the carrying value by an amount in excess of $15 million on that date.</w:t>
      </w:r>
    </w:p>
    <w:p>
      <w:pPr>
        <w:spacing w:after="0" w:line="68" w:lineRule="exact"/>
        <w:rPr>
          <w:sz w:val="20"/>
          <w:szCs w:val="20"/>
          <w:color w:val="auto"/>
        </w:rPr>
      </w:pPr>
    </w:p>
    <w:p>
      <w:pPr>
        <w:ind w:right="440" w:firstLine="374"/>
        <w:spacing w:after="0" w:line="266" w:lineRule="auto"/>
        <w:rPr>
          <w:sz w:val="20"/>
          <w:szCs w:val="20"/>
          <w:color w:val="auto"/>
        </w:rPr>
      </w:pPr>
      <w:r>
        <w:rPr>
          <w:rFonts w:ascii="Times New Roman" w:cs="Times New Roman" w:eastAsia="Times New Roman" w:hAnsi="Times New Roman"/>
          <w:sz w:val="18"/>
          <w:szCs w:val="18"/>
          <w:color w:val="auto"/>
        </w:rPr>
        <w:t>At March 31, 2026, Management performed a qualitative assessment of factors that existed on that date. After considering a number of factors, including but not limited to the following, Management did not identify any indicators of potential impairment and concluded a refreshed quantitative analysis was not required:</w:t>
      </w:r>
    </w:p>
    <w:p>
      <w:pPr>
        <w:spacing w:after="0" w:line="6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changes in economic factors affecting the value of the Company, macro or otherwise, were identified;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prices of the Company’s common shares remained stable throughout the period commencing with the announcement of the Company’s restructuring in October 2025 through March 31, 2026 while also remaining comparable to peers and the NASDAQ in general;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other changes identified to specific assets or liabilities maintained by the Company that would indicate any degradation in the value of the Company’s goodwill or any other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acquired intellectual property relates to cancer stem cell technology and is carried at its cost on the date of acquisition, less accumulated amortization and impairment charges. There was no impairment identified by the Company at March 31, 2026.</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Cancer Stem</w:t>
            </w:r>
          </w:p>
        </w:tc>
      </w:tr>
      <w:tr>
        <w:trPr>
          <w:trHeight w:val="238"/>
        </w:trPr>
        <w:tc>
          <w:tcPr>
            <w:tcW w:w="54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Cell Technology</w:t>
            </w:r>
          </w:p>
        </w:tc>
        <w:tc>
          <w:tcPr>
            <w:tcW w:w="100" w:type="dxa"/>
            <w:vAlign w:val="bottom"/>
          </w:tcPr>
          <w:p>
            <w:pPr>
              <w:spacing w:after="0"/>
              <w:rPr>
                <w:sz w:val="20"/>
                <w:szCs w:val="20"/>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2025</w:t>
            </w:r>
          </w:p>
        </w:tc>
        <w:tc>
          <w:tcPr>
            <w:tcW w:w="32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4,804,791</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2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(497,048)</w:t>
            </w:r>
          </w:p>
        </w:tc>
      </w:tr>
      <w:tr>
        <w:trPr>
          <w:trHeight w:val="250"/>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March 31, 2026</w:t>
            </w:r>
          </w:p>
        </w:tc>
        <w:tc>
          <w:tcPr>
            <w:tcW w:w="28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4,307,743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4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2024</w:t>
            </w:r>
          </w:p>
        </w:tc>
        <w:tc>
          <w:tcPr>
            <w:tcW w:w="32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5,467,522</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2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(497,048)</w:t>
            </w:r>
          </w:p>
        </w:tc>
      </w:tr>
      <w:tr>
        <w:trPr>
          <w:trHeight w:val="249"/>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March 31, 2025</w:t>
            </w:r>
          </w:p>
        </w:tc>
        <w:tc>
          <w:tcPr>
            <w:tcW w:w="28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4,970,474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Acquired intellectual property with a finite life is recognized as an asset at cost and amortized on a straight-line basis over its estimated useful life of 20 years. There is currently no internally generated intellectual property that has been capitalized.</w:t>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concluded an interim quantitative assessment was not required with respect to the financial reporting period ended March 31, 2026 as no events occurred or circumstances changed that would more likely than not reduce the fair value of the acquired intellectual property below its carrying amount.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Accrued Expenses and Other Current Liabilities</w:t>
            </w:r>
          </w:p>
        </w:tc>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66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6660" w:type="dxa"/>
            <w:vAlign w:val="bottom"/>
          </w:tcPr>
          <w:p>
            <w:pPr>
              <w:spacing w:after="0"/>
              <w:rPr>
                <w:sz w:val="20"/>
                <w:szCs w:val="20"/>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6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482,039</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1,656,280</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expenses</w:t>
            </w:r>
          </w:p>
        </w:tc>
        <w:tc>
          <w:tcPr>
            <w:tcW w:w="1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and benefits</w:t>
            </w:r>
          </w:p>
        </w:tc>
        <w:tc>
          <w:tcPr>
            <w:tcW w:w="1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794,836</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1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152,306</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278,149</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EDA Loan</w:t>
            </w:r>
          </w:p>
        </w:tc>
        <w:tc>
          <w:tcPr>
            <w:tcW w:w="1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100" w:type="dxa"/>
            <w:vAlign w:val="bottom"/>
          </w:tcPr>
          <w:p>
            <w:pPr>
              <w:spacing w:after="0"/>
              <w:rPr>
                <w:sz w:val="18"/>
                <w:szCs w:val="18"/>
                <w:color w:val="auto"/>
              </w:rPr>
            </w:pPr>
          </w:p>
        </w:tc>
      </w:tr>
      <w:tr>
        <w:trPr>
          <w:trHeight w:val="21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169,666</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886,124</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2,950,077</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-170815</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 Based Compensation</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December 2024, Neuphoria adopted its 2024 Equity Incentive Plan (“2024 Plan”). The maximum number of shares of common stock of the Company that are available for issuance under the 2024 Plan is 1,000,000 shares. The structure of equity awards is under the active review of the Compensation Committee to ensure it meets good corporate practice for a company of our size, nature, and company lifecycle. The Committee may, from time to time, grant options, stock appreciation rights, restricted stock, restricted stock units, stock bonus awards and/or performance awards to one or more eligible persons. At March 31, 2026, there were 807,178 shares available for grant under the 2024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 summarizes employee and non-employee share option activity for the nine months ended March 31, 2026: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196"/>
        </w:trPr>
        <w:tc>
          <w:tcPr>
            <w:tcW w:w="4940" w:type="dxa"/>
            <w:vAlign w:val="bottom"/>
          </w:tcPr>
          <w:p>
            <w:pPr>
              <w:spacing w:after="0"/>
              <w:rPr>
                <w:sz w:val="17"/>
                <w:szCs w:val="17"/>
                <w:color w:val="auto"/>
              </w:rPr>
            </w:pPr>
          </w:p>
        </w:tc>
        <w:tc>
          <w:tcPr>
            <w:tcW w:w="1620" w:type="dxa"/>
            <w:vAlign w:val="bottom"/>
            <w:gridSpan w:val="2"/>
          </w:tcPr>
          <w:p>
            <w:pPr>
              <w:jc w:val="right"/>
              <w:ind w:right="600"/>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7"/>
                <w:szCs w:val="17"/>
                <w:color w:val="auto"/>
              </w:rPr>
            </w:pPr>
          </w:p>
        </w:tc>
        <w:tc>
          <w:tcPr>
            <w:tcW w:w="1140" w:type="dxa"/>
            <w:vAlign w:val="bottom"/>
          </w:tcPr>
          <w:p>
            <w:pPr>
              <w:jc w:val="center"/>
              <w:ind w:right="130"/>
              <w:spacing w:after="0" w:line="19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7"/>
                <w:szCs w:val="17"/>
                <w:color w:val="auto"/>
              </w:rPr>
            </w:pP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58"/>
        </w:trPr>
        <w:tc>
          <w:tcPr>
            <w:tcW w:w="4940" w:type="dxa"/>
            <w:vAlign w:val="bottom"/>
          </w:tcPr>
          <w:p>
            <w:pPr>
              <w:spacing w:after="0"/>
              <w:rPr>
                <w:sz w:val="22"/>
                <w:szCs w:val="22"/>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c>
          <w:tcPr>
            <w:tcW w:w="2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jc w:val="center"/>
              <w:ind w:right="340"/>
              <w:spacing w:after="0" w:line="258" w:lineRule="exact"/>
              <w:rPr>
                <w:sz w:val="20"/>
                <w:szCs w:val="20"/>
                <w:color w:val="auto"/>
              </w:rPr>
            </w:pPr>
            <w:r>
              <w:rPr>
                <w:rFonts w:ascii="Times New Roman" w:cs="Times New Roman" w:eastAsia="Times New Roman" w:hAnsi="Times New Roman"/>
                <w:sz w:val="18"/>
                <w:szCs w:val="18"/>
                <w:b w:val="1"/>
                <w:bCs w:val="1"/>
                <w:color w:val="auto"/>
                <w:w w:val="93"/>
              </w:rPr>
              <w:t xml:space="preserve">Value </w:t>
            </w:r>
            <w:r>
              <w:rPr>
                <w:rFonts w:ascii="Times New Roman" w:cs="Times New Roman" w:eastAsia="Times New Roman" w:hAnsi="Times New Roman"/>
                <w:sz w:val="24"/>
                <w:szCs w:val="24"/>
                <w:b w:val="1"/>
                <w:bCs w:val="1"/>
                <w:color w:val="auto"/>
                <w:w w:val="93"/>
                <w:vertAlign w:val="superscript"/>
              </w:rPr>
              <w:t>(1)</w:t>
            </w:r>
          </w:p>
        </w:tc>
      </w:tr>
      <w:tr>
        <w:trPr>
          <w:trHeight w:val="209"/>
        </w:trPr>
        <w:tc>
          <w:tcPr>
            <w:tcW w:w="49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30, 2025</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51,839</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Lapsed</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(6,023)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0"/>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2025</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137,027</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5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16"/>
        </w:trPr>
        <w:tc>
          <w:tcPr>
            <w:tcW w:w="4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Lapsed</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09"/>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136,770</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5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16"/>
        </w:trPr>
        <w:tc>
          <w:tcPr>
            <w:tcW w:w="4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Lapsed</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(20,547)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09"/>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31, 2026</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116,223</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15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4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Options exercisable as of March 31, 2026</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77,285</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100.38</w:t>
            </w:r>
          </w:p>
        </w:tc>
        <w:tc>
          <w:tcPr>
            <w:tcW w:w="15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5.68</w:t>
            </w:r>
          </w:p>
        </w:tc>
        <w:tc>
          <w:tcPr>
            <w:tcW w:w="42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-899795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-616585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-333375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2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in the above table was calculated on the positive difference, if any, between the closing price per share of the Company’s common stock on March 31, 2026 of $4.07 and the per share exercise price of the underlying options.</w:t>
      </w:r>
    </w:p>
    <w:p>
      <w:pPr>
        <w:spacing w:after="0" w:line="5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$0.3 million of unrecognized compensation cost related to unvested employee share option awards outstanding, which is expected to be recognized as expense over a weighted average period of 1.37 years.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share-based awards, the Company uses the Black-Scholes option-pricing model and assumptions discussed below. Each of these inputs is subjective and generally requires significant judgment to determine.</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nine months ended March 31, 2026 was approximately $7.88 per share. There were no stock options granted during the three months ended March 31, 2026 or during the nine months ended March 31, 2025.</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total share-based compensation expense of less than $0.1 million during each period, respectively.</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31, 2026 and 2025, the Company recognized total share-based compensation expense of approximately $0.2 million and less than $0.1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the share-based compensation expense was recorded as general and administrative expense in each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Terms of RSU agreements, including vesting requirements, are determined by the board of directors or its compensation committee, subject to the provisions of the 2024 Plan. RSUs granted by the Company vest according to the terms of the underlying grant agreement and are awarded at the closing stock share price on the date of grant. In the event the recipient's employment with the Company terminates, any unvested underlying shares are forfeited and revert to the 2024 Plan. RSUs are not included in issued and outstanding common stock until vested. There were 13,476 RSUs fully vested and unreleased at March 31, 2026.</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January 20, 2026, the Board of Directors granted to its non-executive members a total of 42,684 RSUs with an intrinsic value of $4.03 per share. The RSUs fully vest the day prior to the next annual shareholder meeting, or the effective date of a change in control of the Company, whichever occurs earlier.</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recognized approximately $0.2 million of stock-based compensation expense associated with RSUs for the nine months ended March 31, 2026. As of March 31, 2026, the unvested RSUs had an aggregate intrinsic value of approximately $0.2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expiration date, and exercise price of individual warrants at March 31, 2026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1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accompanying warrants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6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2029</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648"/>
        </w:trPr>
        <w:tc>
          <w:tcPr>
            <w:tcW w:w="38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580"/>
        <w:spacing w:after="0" w:line="282" w:lineRule="auto"/>
        <w:rPr>
          <w:sz w:val="20"/>
          <w:szCs w:val="20"/>
          <w:color w:val="auto"/>
        </w:rPr>
      </w:pPr>
      <w:r>
        <w:rPr>
          <w:rFonts w:ascii="Times New Roman" w:cs="Times New Roman" w:eastAsia="Times New Roman" w:hAnsi="Times New Roman"/>
          <w:sz w:val="18"/>
          <w:szCs w:val="18"/>
          <w:color w:val="auto"/>
        </w:rPr>
        <w:t>1,054,381 warrants were exercisable at March 31, 2026 and remain exercisable until June 2, 2029 unless exercised earlier. There were no exercises, cancellations, or expirations of warrants during the nine months ended March 31,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life of the accompanying warrants outstanding at March 31, 2026 is 3.18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Capital Stock</w:t>
      </w:r>
    </w:p>
    <w:p>
      <w:pPr>
        <w:spacing w:after="0" w:line="121" w:lineRule="exact"/>
        <w:rPr>
          <w:sz w:val="20"/>
          <w:szCs w:val="20"/>
          <w:color w:val="auto"/>
        </w:rPr>
      </w:pPr>
    </w:p>
    <w:p>
      <w:pPr>
        <w:ind w:right="2700"/>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Neuphoria is authorized to issue up to 30,000,000 shares of common stock and 3,000,000 shares of preferred stock, par value $0.00001 per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our common stock are entitled to one vote per share on all matters on which stockholders are generally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except as otherwise required by law, holders of common stock, as such,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Holders of our common stock do not have cumulative voting rights in the election of directors. Accordingly, the holders of a majority of the combined voting power of our common stock could, if they so choose, elect all the directors.</w:t>
      </w:r>
    </w:p>
    <w:p>
      <w:pPr>
        <w:spacing w:after="0" w:line="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the rights of the holders of any outstanding series of preferred stock, holders of common stock are entitled to receive any dividends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permitted by law when, as and if declared by our board of directors.</w:t>
      </w:r>
    </w:p>
    <w:p>
      <w:pPr>
        <w:spacing w:after="0" w:line="5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Upon the dissolution, liquidation, or winding up of Neuphoria, subject to the rights of the holders of any outstanding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shares of common stock are entitled to receive the assets of Neuphoria available for distribution to its stockholders ratably in proportion to the number of shares held by them.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Preferred Stock</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Unless required by law or by any stock exchange on which our common stock may be listed, the authorized shares of preferred stock will be available for issuance without further action by our stockholders. Delaware law does not require stockholder approval for any issuance of authorized shares. However, the listing requirements of Nasdaq, which apply as long as our common stock is listed on Nasdaq, require stockholder approval of certain issuances equal to or exceeding 20% of the combined voting power of our common stock if issued at a discount to the market price of the common stock. These additional shares may be used for a variety of corporate purposes, including future public offerings to raise additional capital, acquisitions, and employee benefit plans.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establish the number of shares to be included in each series of preferred stock, and to fix the designation, powers, preferences, relative participation, optional or other rights, and the qualifications, limitations or restrictions, of the shares of each series of preferred stock. Our board of directors is also able to increase or decrease the number of authorized shares of any series of preferred stock (but not below the number of shares of that series of preferred stock then outstanding) without any further vote or action by the stockholders. No shares of preferred stock are issued or outstanding as of March 31, 2026.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Rights Agreement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25, 2025, the Board of Directors (the “Board”) of Neuphoria Therapeutics Inc. declared a dividend of one right (“Right”) to purchase one-thousandth of one share of the Company’s newly designated Series A Preferred Stock, par value $0.00001 per share (each, a “Preferred Share” and collectively, the “Preferred Shares”), for each outstanding share of common stock, par value $0.00001 per share, of the Company to the stockholders of record as of the close of business on October 27, 2025 (the “Record Date”). The Company also adopted a limited duration stockholder rights plan (the “Rights Plan”), effective immediately, as set forth in the Rights Agreement, dated as of October 27, 2025 (the “Rights Agreement”), by and between the Company and Computershare Trust Company, N.A., as Rights Agent. The Rights Agent currently serves as the Company’s transfer agent with respect to the Company Common Stock and also has been appointed transfer agent with respect to the Preferred Shares, if any, that may be issued pursuant to the exercise of rights under the Rights Agreement. The Rights will expire on October 27, 2026, unless the rights are earlier redeemed or exchanged by the Company. The Company does not have any obligation under the Rights Agreement to seek stockholder approval for the Rights Plan. In connection with the Rights Plan, the Company also filed a Certificate of Designation with the Secretary of State of the State of Delaware on October 27, 2025 with respect to the Series A Preferred Stock shares issuable under the Rights Plan. Per the terms of the Rights Plan, the purchase price for each 1/1000th of a Preferred Share pursuant to the exercise of a Right shall initially be $85.00. There were no triggering events under the Shareholders Rights Plan during the nine months ended March 31,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 Provisions: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Preferred Share, if issued:</w:t>
      </w:r>
    </w:p>
    <w:p>
      <w:pPr>
        <w:spacing w:after="0" w:line="117"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ind w:left="1140" w:right="40" w:hanging="383"/>
        <w:spacing w:after="0" w:line="256"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as and if any dividend is declared on Company Common Stock, entitle the holder to quarterly dividend payments in an amount per share equal to 1,000 times the aggregate per share amount of all cash dividends, and 1,000 times the aggregate per share amount, payable in kind, of all non-cash dividends or other distributions other than a dividend payable in Company Common Stock or a subdivision of the outstanding Company Common Stock, by reclassification or otherwise, declared on Company Common Stock since the immediately preceding quarterly dividend payment date or, with respect to the first date when quarterly dividends are payable in cash, since the first issuance of any share or fraction of a share of Series A Preferred Stock;</w:t>
      </w:r>
    </w:p>
    <w:p>
      <w:pPr>
        <w:spacing w:after="0" w:line="79" w:lineRule="exact"/>
        <w:rPr>
          <w:rFonts w:ascii="Times New Roman" w:cs="Times New Roman" w:eastAsia="Times New Roman" w:hAnsi="Times New Roman"/>
          <w:sz w:val="18"/>
          <w:szCs w:val="18"/>
          <w:color w:val="auto"/>
        </w:rPr>
      </w:pPr>
    </w:p>
    <w:p>
      <w:pPr>
        <w:ind w:left="1140" w:right="20" w:hanging="383"/>
        <w:spacing w:after="0" w:line="261"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the holder upon liquidation either to receive a preferential liquidation payment of the greater of (a) $1,000 per Series A Preferred Share, plus an amount equal to accrued and unpaid dividends and distributions thereon, whether or not declared, to the date of such payment, and (b) an aggregate amount per Series A Preferred Share equal to 1,000 times the aggregate amount to be distributed per share to holders of Company Common Stock plus an amount equal to any accrued and unpaid dividends on such Series A Preferred Shares;</w:t>
      </w:r>
    </w:p>
    <w:p>
      <w:pPr>
        <w:spacing w:after="0" w:line="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the same voting power as 1,000 shares of Company Common Stock;</w:t>
      </w:r>
    </w:p>
    <w:p>
      <w:pPr>
        <w:spacing w:after="0" w:line="117"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Company Common Stock are exchanged via merger, consolidation, or a similar transaction, will entitle the holder to a per share payment equal to the payment made on 1,000 shares of Company Common Stock; and</w:t>
      </w:r>
    </w:p>
    <w:p>
      <w:pPr>
        <w:spacing w:after="0" w:line="53"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junior to any other series of the Company’s preferred stock in the event such other preferred stock is issued by the Company, unless the terms of any such series provide otherwise.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value of one one-thousandth (1/1,000th) interest in a Series A Preferred Share is intended to approximate the value of one share of Company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interim financial reporting, the Company estimates its annual effective tax rate based on the projected income for its entire fiscal year and records a provision or benefit for income taxes on a quarterly basis based on the estimated annual effective income tax rate. The Company recognized a tax benefit of $34,793, or 6.4%, and $81,186, or 0.7%, for the three months ended March 31, 2026 and 2025, respectively. The Company recognized a tax benefit of $104,380, or 1.2%, and $201,764, or 2.4%, for the nine months ended March 31, 2026 and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(Loss) per Share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potential shares of common stock are anti-dilutive and are therefore excluded from the weighted average number of shares of common stock for the purposes of diluted net (loss) income per share.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Pr>
          <w:p>
            <w:pPr>
              <w:spacing w:after="0"/>
              <w:rPr>
                <w:sz w:val="20"/>
                <w:szCs w:val="20"/>
                <w:color w:val="auto"/>
              </w:rPr>
            </w:pPr>
          </w:p>
        </w:tc>
        <w:tc>
          <w:tcPr>
            <w:tcW w:w="27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10"/>
        </w:trPr>
        <w:tc>
          <w:tcPr>
            <w:tcW w:w="56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116,223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116,223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100" w:type="dxa"/>
            <w:vAlign w:val="bottom"/>
            <w:shd w:val="clear" w:color="auto" w:fill="CFF0FC"/>
          </w:tcPr>
          <w:p>
            <w:pPr>
              <w:spacing w:after="0"/>
              <w:rPr>
                <w:sz w:val="18"/>
                <w:szCs w:val="18"/>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Options Issued to Directors and Other Key Management Personnel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March 31, 2026, 34,559 stock options were granted to Dr. Spyros Papapetropoulos, Interim CEO.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Danforth Advisors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July 2021, we entered into a consulting agreement with Danforth Advisors LLC (“Danforth”) to provide consulting services to the Company. The Danforth agreement was amended in May 2023, and further amended in August 2023. Pursuant to the agreement, Danforth provides us with the Chief Financial Officer services of Mr. Cunningham in exchange for fees payable to Danforth, as well as Finance and Accounting services by other members of Danforth. The Danforth agreement will continue until such time as either party to it has given notice of termination, pursuant thereto, with cause upon 30 days prior written notice or without cause upon 60 days prior written notice. During the three months ended March 31, 2026 and 2025, Danforth Advisors invoiced the Company $172,375 and $203,986, respectively. During the nine months ended March 31, 2026 and 2025, Danforth Advisors invoiced the Company $663,650 and $531,544, respectively. We believe that this agreement is on an arms-length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WG Partners LLP</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December 2023, we entered into an engagement letter with WG Partners LLP to provide financial advisory services to the Company. David Wilson, a director of the Company, is the Chairman and Chief Executive Officer of WG Partners. Under the existing agreement, the Company agreed to pay to WG Partners a monthly fee of $15,000 and applicable commissions, if any, which 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line="253" w:lineRule="auto"/>
        <w:rPr>
          <w:sz w:val="20"/>
          <w:szCs w:val="20"/>
          <w:color w:val="auto"/>
        </w:rPr>
      </w:pPr>
      <w:r>
        <w:rPr>
          <w:rFonts w:ascii="Times New Roman" w:cs="Times New Roman" w:eastAsia="Times New Roman" w:hAnsi="Times New Roman"/>
          <w:sz w:val="18"/>
          <w:szCs w:val="18"/>
          <w:color w:val="auto"/>
        </w:rPr>
        <w:t>subject to conditions and further addendum; however, no such commissions were earned, invoiced or paid during each of the three and nine months ended March 31, 2026 and 2025 under the terms of this agreement. On January 20, 2026, in connection with the Company’s previously announced initiation of a strategic evaluation process in October 2025, the Company and WG Partners entered into an amendment to the agreement to reflect WG Partners' continued services on behalf of the Company, alongside H.C. Wainwright &amp; Co., the Company’s lead strategic alternative transaction advisor, to assist and advise the Company in its consideration of a potential merger and acquisition, or such other strategic transaction, as the case may be. In this regard, WG Partners has extended the strategic partner outreach to territories outside of the U.S. Pursuant to the 2026 amendment, WG Partners is entitled to receive the following compensation: (i) an increase in its monthly fee from $15,000 to $20,000, plus VAT where applicable, (ii) a one-time retainer of $100,000, plus VAT where applicable, which payment was made upon entry into such 2026 amendment; and (iii) a strategic transaction success fee of $350,000, plus VAT where applicable, payable on the completion of a potential merger and acquisition transaction, if any. The agreement will continue until such time as a party gives 30 days prior written notice of termination to the other party. During the three months ended March 31, 2026 and 2025, WG Partners invoiced the Company for monthly stipend fees of $176,504 and $59,841, respectively. During the nine months ended March 31, 2026 and 2025, WG Partners invoiced the Company for monthly stipend fees of $263,108 and $79,206, respectively. We believe that this agreement, as amended, was negotiated and entered into on an arms-length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Contingent Consideration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result of the acquisition of Eclipse Therapeutic, Inc (“Eclipse”) during the year ended June 30, 2013, the Company determines and recognizes at each reporting date the fair value of the additional consideration that may be payable to Eclipse security holders due to potential royalty payments based on achieving late-stage development success or partnering outcomes based on Eclipse assets. Such potential earn-out payments are recorded at fair value and include several significant estimates including adjusted revenue projections and expenses, probability of such projections, and a suitable discount rate to calculate fair value.</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Due to changes in the projected inputs associated with the timing and quantum of expected cash outflows, which are in U.S. dollars, the liability decreased by approximately $0.1 million during the nine months ended March 31, 2026 and increased by an immaterial amount during the nine months ended March 31, 2025 (see Note 4). Inputs used are based on the anticipated amounts and timing of potential milestone and royalty payments from the licensing agreement with Carina Biotech Pty Ltd (“Carina”).</w:t>
      </w:r>
    </w:p>
    <w:p>
      <w:pPr>
        <w:spacing w:after="0" w:line="70"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 xml:space="preserve">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requires an acquirer to recognize contingent consideration obligations as of the acquisition date at fair value as part of the consideration transferred in exchange for the acquired business. Subsequent changes in the fair value are recognized in the condensed consolidated statement of operations and other comprehensive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Ironwood Pharmaceuticals, Inc.</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2012, the Company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the Company. The sole obligation to Ironwood is to pay Ironwood low to mid-single digit royalties on the net sales of BNC210, if commercialized. It is not practicable to estimate the future payments of any such royalties that may arise due to the stage of development of BNC210.</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Obligation</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has a remaining liability in relation to the severance agreement with Dr. Spyros Papapetropoulos for severance pay of approximately $0.2 million at March 31, 2026 and has included said amount in the Restructuring liability.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21"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May 15, 2026 and has concluded that no events or transactions have occurred that require disclosure in the accompanying condensed consolidated financial statements which significantly affect or may significantly affect the results of the operations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included elsewhere in this report. Some of the information contained in this discussion and analysis or set forth elsewhere in this report, including information with respect to our plans and strategy for our business, includes forward-looking statements that involve risks and uncertainties. You should review the “Risk Factors” section of our Annual Report on Form 10-K for the year ended June 30, 2025 ("Form 10-K") and in this report, as well as disclosures in this report and our other reports filed with the Securities and Exchange Commission ("SEC"), for a discussion of important factors that could cause actual results to differ materially from the results described in or implied by the forward-looking statements contained in the following discussion and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novel, allosteric ion channel modulators designed to transform the lives of patients suffering from serious central nervous system (“CNS”) disorders with high unmet medical need. Ion channels serve as important mediators of physiological function in the CNS and the modulation of ion channels influences neurotransmission that leads to downstream signaling in the brain. The α7 nicotinic acetylcholine (“ACh”) receptor (“α7 receptor”) is an ion channel that plays an important role in driving emotional responses and cognitive performance. Utilizing our expertise in ion channel biology and translational medicine, we have been developing orally active small molecule negative allosteric modulators (“NAMs”) to treat anxiety and stressor-related disorders. In addition, through a long-standing strategic partnership with Merck &amp; Co., Inc., in the United States and Canada (“MSD”), we are also developing positive allosteric modulators (“PAMs”) of the α7 receptor to treat cognitive dysfunction. Neuphoria's pipeline also includes preclinical assets that target Kv3.1/3.2 and Nav1.7/1.8 ion channels being developed for CNS conditions of high unmet need.</w:t>
      </w:r>
    </w:p>
    <w:p>
      <w:pPr>
        <w:spacing w:after="0" w:line="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part of our ongoing strategic review of our operations and portfolio, we are assessing plans for our lead product candidate, BNC210, an oral, proprietary, selective NAM of the α7 receptor, for the chronic treatment of Post-Traumatic Stress Disorder (“PTSD”), which program we have paused to allow for a broader assessment in light of potential strategic transactions, structure and timing.</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remains a significant unmet medical need for the over 9 million patients in the United States alone suffering from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 Current pharmacological treatments include certain antidepressants and benzodiazepines, and there have been no new FDA approved therapies in these indications in nearly two decades. These existing treatments have multiple shortcomings, such as a slow onset of action of antidepressants, and significant side effects of both classes of drugs, including abuse liability, addiction potential and withdrawal symptoms. BNC210 has been observed in our clinical trials to have a fast onset of action and clinical activity without the limiting side effects seen with the current standard of care.</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ability to generate revenue from product sales sufficient to achieve profitability will depend heavily on the successful development and eventual commercialization of one or more of our product candidates. As of March 31, 2026, our operations have been financed primarily by aggregate net proceeds of $211.0 million from the sale and issuances of our equity, $29.2 million in the form of an upfront payment, research funding, and development milestone payments from the 2014 Merck Collaboration and License Agreement (the "Merck Agreement") and the Carina Biotech License, and $67.9 million from Australian research and development credits and government grants and assistance.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trade and other payables.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continue to incur net losses for the foreseeable future.</w:t>
      </w:r>
    </w:p>
    <w:p>
      <w:pPr>
        <w:spacing w:after="0" w:line="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Since inception, we have had significant operating losses and have an accumulated deficit of $186.9 million at March 31, 2026. The Company incurred a net loss of $0.5 million and earned net income of $11.3 million for the three months ended March 31, 2026 and 2025, respectively, and incurred a net loss of $8.5 million and earned net income of $8.5 million for the nine months ended March 31, 2026 and 2025, respectively. The Company also had $13.6 million of cash used in operating activities during the nine months ended March 31, 2026. The results of operations for the three and nine months ended March 31, 2026 are not necessarily indicative of the results of operations to be expected for the year ending June 30, 2026.</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upon the Company’s current operating plans, reflective of recent cost curtailments, the Company believes that its existing cash and cash equivalents will be sufficient to continue funding its operating activities beyond the fourth quarter of fiscal year 2027, which is more than twelve months from the date these condensed consolidated financial statements are issued. Consequently, management has determined there is no substantial doubt regarding the Company's ability to continue as a going concern for the twelve month period from the date these financial statements are issued.</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Phase 3 SAD Clinical Trial Results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October 20, 2025, the Company announced that the AFFIRM-1 Phase 3 trial of BNC210 for the acute, as-needed treatment of social anxiety disorder ("SAD") did not meet its primary endpoint of change from baseline to the average of the performance phase of the public speaking challenge in Subjective Units of Distress Scale ("SUDS") scores. In addition, analyses of secondary endpoints did not demonstrate statistically significant differences. The safety and tolerability profile of BNC210 continued to be favorable and was consistent with previously reported studies.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on the results from the AFFIRM-1 trial, the Company further announced that it will discontinue further development of its SAD program. Given previous positive data with chronic daily dosing, Neuphoria is evaluating next steps for further development of BNC210 in post-traumatic stress disorder, if any, while it is continuing its alternative strategic transaction review and screening process.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Rights Plan</w:t>
      </w:r>
    </w:p>
    <w:p>
      <w:pPr>
        <w:spacing w:after="0" w:line="11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October 25, 2025, the Board of Directors (the “Board”) of Neuphoria Therapeutics Inc. declared a dividend of one right (“Right”) to purchase one-thousandth of one share of the Company’s newly designated Series A Preferred Stock, par value $0.00001 per share (each, a “Preferred Share” and collectively, the “Preferred Shares”), for each outstanding share of common stock, par value $0.00001 per share, of the Company to the stockholders of record as of the close of business on October 27, 2025 (the “Record Date”). The Company also adopted a limited duration stockholder rights plan (the “Rights Plan”), effective immediately, as set forth in the Rights Agreement, dated as of October 27, 2025 (the “Rights Agreement”), by and between the Company and Computershare Trust Company, N.A., as Rights Agent. The Rights Agent currently serves as the Company’s transfer agent with respect to the Company Common Stock and also has been appointed transfer agent with respect to the Preferred Shares, if any, that may be issued pursuant to the exercise of rights under the Rights Agreement. The Rights will expire on October 27, 2026, unless the rights are earlier redeemed, extended, or exchanged by the Company. The Company does not have any obligation under the Rights Agreement to seek stockholder approval for the Rights Plan. In connection with the Rights Plan, the Company also filed a Certificate of Designation with the Secretary of State of the State of Delaware on October 27, 2025 with respect to the Series A Preferred Stock shares issuable under the Rights Plan. Per the terms of the Rights Plan, the purchase price for each 1/1000th of a Preferred Share pursuant to the exercise of a Right shall initially be $85.00. There were no triggering events under the Shareholders Rights Plan as of May 14, 2026.</w:t>
      </w:r>
    </w:p>
    <w:p>
      <w:pPr>
        <w:spacing w:after="0" w:line="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Generally, the Rights Plan is designed to impose a penalty upon any person or group that acquires beneficial ownership of 15% or more of the outstanding shares of Company Common Stock without the approval of the Board. The Board adopted the Rights Plan in response to significant and rapid accumulations of the Company’s Common Stock by certain investors who have indicated a potential desire to influence the control of Neuphoria. The Rights Plan is intended to protect the investment of Neuphoria stockholders during a period in which it believes shares of the Company do not reflect the Company’s intrinsic value. The Rights Plan is intended to provide the Board sufficient time to make informed judgments and take actions that are in the best interests of the Company and all of its stockholders. The Rights Plan does not prevent the Board from engaging with parties or accepting an acquisition proposal if the Board believes that it is in the best interests of the Company and all of its stockholders.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Review</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11, 2025, and as previously indicated by the Company via prior press releases and SEC filings, the Company’s Board of Directors announced the initiation of a review of strategic alternatives to advance its promising pipeline programs and maximize stockholder value, pursuant to which the Company had engaged H.C. Wainwright &amp; Co. to serve as its lead financial advisor to assist in this process. See also Note 15 related to the January 2026 expanded engagement of WG Partners in connection with this strategic evaluation process. Strategic alternatives under consideration may include, but are not limited to, mergers, acquisitions, partnerships, joint ventures, licensing arrangements or other strategic transactions.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Neuphoria cannot provide a definitive timeline for the consummation of strategic alternatives and cannot confirm that the process will result in any strategic alternative being announced or consummated. In addition, as previously disclosed in our periodic report and other SEC filings, on December 2, 2025, Lynx1 Master Fund LP (“Lynx1”) had made a non-binding proposal to acquire all outstanding shares of the Company for $4.75 per share, revised lower from its November 10, 2025 offer of $5.20 per share, in each case in cash. This revised offer from Lynx1 included its intent to nominate certain individuals to stand for election to Neuphoria’s board of directors at the Company’s 2025 Annual Meeting of Stockholders (“Annual Meeting”), which was held on December 12, 2025. In relevant part, the stockholders voted in favor of the election of the Company’s existing Class 1 directors, Peter Miles Davies and David Wilson, by a vote of approximately 84% to 16%. The complete results of that annual stockholder meeting can be found in the Company current report on Form 8-K filed by the Company with the SEC on December 17, 2025. As previously disclosed, Neuphoria's board of directors determined that the revised bid by Lynx1 was undervalued, provided no meaningful premium to stockholders, and further determined to continue with its ongoing strategic alternatives review process.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Employment Agreement Termination and Entry into Consulting Agreement</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December 16, 2022, the Company had appointed Spyridon Papapetropoulos, M.D. as President and Chief Executive Officer (“CEO”) pursuant to the terms of that certain Employment Agreement effective January 5, 2023 (“Employment Agreement”), and as a director to the Company’s board.</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Effective December 31, 2025, due to company-wide cost-cutting measures, Dr. Papapetropoulos ceased to serve as the full-time President and CEO of the Company and his Employment Agreement terminated on such date; however, Dr. Papapetropoulos will remain as a member of the Company’s Board of Directors. Pursuant to the terms of the Employment Agreement, Dr. Papapetropoulos is entitled to a severance payment in an aggregate amount equal to his annual base salary, target bonus amount, and medical insurance premiums, 50% of which was paid in calendar year 2025. Of the remaining balance of such severance, approximately 30% was paid during the three months ended March 31, 2026 with the balance to be paid in partial installments over the remainder of calendar year 2026, subject to and in accordance with the Company’s regular payroll, withholding practices, and applicable law.</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Simultaneously, in connection with the termination of the Employment Agreement, Dr. Papapetropoulos entered into a Consulting Agreement with the Company (the “Consulting Agreement”) effective January 1, 2026, under which Dr. Papapetropoulos will serve as the interim CEO to the Company for up to twelve months to support the execution of the Company’s contemplated strategic transaction and ensure a seamless transition. Under the terms of the Consulting Agreement, Dr. Papapetropoulos will receive consulting fees equal to $800 per hour for services up to approximately 40 hours per month for his continued services, which aggregate hours shall not exceed more than twenty percent of the total hours performed while acting as the full-time CEO of the Company. The Consulting Agreement shall automatically terminate upon the earlier of twelve months from entry or the consummation of a strategic merger, change of control, or similar transaction by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Collaboration and License Agreements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Ironwood low to mid-single digit royalties on the net sales of BNC210, if commercialized.</w:t>
      </w:r>
    </w:p>
    <w:p>
      <w:pPr>
        <w:spacing w:after="0" w:line="7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September 2014, we entered the 2014 Merck Research Collaboration and License Agreement to develop compounds targeting cognitive dysfunction associated with Alzheimer’s disease and other central nervous system conditions. Pursuant to the Merck Agreement, we received upfront payments totaling $17 million, another $10 million in February 2017 when the first compound from the collaboration entered Phase 1 clinical trials, and another $15 million in March 2025 upon the first dosing of a patient in a phase II clinical trial. We are also eligible to receive up to an aggregate of $450 million in milestone payments comprised of $275 million for the achievement of certain development milestones and $175 million in potential commercial milestones.</w:t>
      </w:r>
    </w:p>
    <w:p>
      <w:pPr>
        <w:spacing w:after="0" w:line="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14, 2025, the Company and Merck executed the Fifth Amendment to the Research Collaboration and License Agreement which amended the patent royalty rate set out in the Merck Agreement, such that, conditioned upon achievement of net sales thresholds set forth in the Merck Agreement, as amended, the Company will be paid royalties on net sales ranging from a low single digits percentage to a low sub-teens percentage, depending on net sales volume.</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November 2020, we entered into an IP license agreement (the “Carina Biotech License”) with Carina Biotech ("Carina"). Pursuant to the Carina Biotech License, we are eligible to receive approximately $3 million in certain development, regulatory milestone payments if Carina Biotech advances the development of the therapy to a Phase 3 trial. Carina Biotech is also obligated to pay us royalties on its net sales of licensed products, on a country-by-country and product-by-product basis, ranging from the low-single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 On October 30, 2024, Carina made a milestone payment to the Company in the gross amount of A$1,000,000 which was recorded as revenue during the nine months ended March 31, 2025. No further payments have been received from Carina since October 30,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 from Continuing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since inception have consisted primarily of research and development expenses, general and administrative expenses, and other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represent costs incurred to conduct discovery and development of our proprietary drug candidates and consist primarily of:</w:t>
      </w:r>
    </w:p>
    <w:p>
      <w:pPr>
        <w:spacing w:after="0" w:line="54"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share-based compensation;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outside consultants and advisors, including their fees and related travel expenses; and</w:t>
      </w:r>
    </w:p>
    <w:p>
      <w:pPr>
        <w:spacing w:after="0" w:line="117" w:lineRule="exact"/>
        <w:rPr>
          <w:rFonts w:ascii="Times New Roman" w:cs="Times New Roman" w:eastAsia="Times New Roman" w:hAnsi="Times New Roman"/>
          <w:sz w:val="18"/>
          <w:szCs w:val="18"/>
          <w:color w:val="auto"/>
        </w:rPr>
      </w:pPr>
    </w:p>
    <w:p>
      <w:pPr>
        <w:ind w:left="1140" w:right="20" w:hanging="383"/>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CROs that conduct research, preclinical activities and clinical trials on our behalf as well as CMOs that manufacture our product candidates for use in our preclinical studies and clinical trials and perform other required manufacturing activities.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expense all research and development costs as they are incurred, with development expenses being expensed to the extent they do not meet the criteria for capitalization. To date, we have not capitalized any of our research and development costs and manage our research and development costs on a consolidated basis. Our collaboration partners typically carry the majority of the research and development expenses for out-licensed product candidates at amounts that are not known or made available to us. Therefore, our research and development expenses do not reflect a complete picture of all financial resources devoted to our product candidates, nor do historical research and development expenses necessarily reflect the stage of development for particular product candidates or development projects.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Substantially all our direct research and development expenses during the three and nine months ended March 31, 2026 and 2025 were on BNC210 and consisted primarily of external costs, such as consultants, CMOs that conduct research and development activities on our behalf, costs related to production of preclinical and clinical materials including fees paid to CMOs, and laboratory and vendor expenses related to the execution of our ongoing and planned preclinical studies and clinical trials. We deploy our personnel resources across all our research and development activities.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and the current stage of development of our product candidates, we cannot reasonably estimate or know the nature, timing, and estimated costs necessary to complete the remainder of the development of our product candidates.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spacing w:after="0" w:line="75"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planned Phase 3 clinical trial in PTSD;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clinical trials for BNC210 and any future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from our clinical programs that support an acceptable risk-benefit profile of our product candidates in the intended patient populations;</w:t>
      </w:r>
    </w:p>
    <w:p>
      <w:pPr>
        <w:spacing w:after="0" w:line="128" w:lineRule="exact"/>
        <w:rPr>
          <w:rFonts w:ascii="Times New Roman" w:cs="Times New Roman" w:eastAsia="Times New Roman" w:hAnsi="Times New Roman"/>
          <w:sz w:val="17"/>
          <w:szCs w:val="17"/>
          <w:color w:val="auto"/>
        </w:rPr>
      </w:pPr>
    </w:p>
    <w:p>
      <w:pPr>
        <w:ind w:left="1140" w:right="2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regulatory authorities in Europe, or other regulatory agencies, of the IND applications, clinical trial applications and/or other regulatory filings for BNC210, our other current product candidates and any future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maintenance of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with third-party manufacturers for, or establishment of, commercial manufacturing capabilities;</w:t>
      </w:r>
    </w:p>
    <w:p>
      <w:pPr>
        <w:spacing w:after="0" w:line="117"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17"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maintenance, enforcement, defense and protection of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 intellectual property or proprietary rights;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23" w:name="page24"/>
    <w:bookmarkEnd w:id="23"/>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 and</w:t>
      </w:r>
    </w:p>
    <w:p>
      <w:pPr>
        <w:spacing w:after="0" w:line="117"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if we complete a strategic transaction, and in such event, whether a successor entity will determine to continue the clinical trial in BNC 210 for PTSD or potentially divest of this asset.</w:t>
      </w:r>
    </w:p>
    <w:p>
      <w:pPr>
        <w:spacing w:after="0" w:line="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historically accounted for a significant portion of our operating expenses. We expect our research and development expenses to increase substantially for the foreseeable future under the presumption that we continue to implement our business strategy, which includes advancing BNC210 through clinical development and other product candidates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The process of conducting the necessary clinical development to obtain regulatory approval is costly and time-consuming, and the successful development of our product candidates is highly uncertain.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 Expenses</w:t>
      </w:r>
    </w:p>
    <w:p>
      <w:pPr>
        <w:spacing w:after="0" w:line="11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travel, and share-based compensation for personnel in executive, finance, and administrative functions. General and administrative expenses also include insurance, supplies, and professional fees for legal, consulting, accounting, and audit services.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administration expenses to decrease in future periods as we pause operations while engaged in a review of strategic alternatives. We will continue to incur normal costs associated with maintaining a U.S. public company including limited personnel costs and professional fees for consulting, legal, accounting, and audit services.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general and administration expenses consist primarily of:</w:t>
      </w:r>
    </w:p>
    <w:p>
      <w:pPr>
        <w:spacing w:after="0" w:line="117"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share-based compensation;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outside consultants and advisors,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and maintenance of patents and intellectual property rights;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audit, tax and regulatory compliance;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including facilities costs, legal fees and insurance.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October 2025, management committed to a plan to discontinue or pause, in regard to BNC210 in SAD and PTSD, its research and development activities while it seeks to identify a partner with which to execute a strategic merger and/or such other transaction(s), if any, for the benefit of existing shareholders of Neuphoria. As part of the restructuring initiative, the Company terminated its facility leases, wrote off the remaining carrying value of the right-of-use asset, derecognized the associated operating lease liability, and terminated substantially all of its employees. A liability equivalent to the derecognized lease liability has been included in Accrued restructuring expenses (see Notes 6 and 9 to the condensed consolidated financial statements). The write-offs are included in Restructuring costs in the condensed consolidated statements of operations and other comprehensive income (loss) for the three and nine months ended March 31,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1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Other income (loss) consists of net interest income, foreign currency transaction gains and losses, fair value adjustments, research and development incentive awards, and other gains and losses.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Foreign Currency Exchange</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financial results are reported in U.S. dollars. A substantial portion of our operating expenses and other income are denominated in the Australian dollar. During the nine months ended March 31, 2026 and 2025, we managed our exchange rate exposure principally by maintaining foreign currency cash accounts and managing our payments from the most appropriate accounts. From time to time, we may additionally use forward exchange contracts in an effort to manage certain foreign exchange rate exposures when appropriate. There were no foreign exchange contracts used during the nine months ended March 31, 2026 and 2025, respectively. See “Quantitative and Qualitative Disclosures about Market Risk” for more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09"/>
        </w:trPr>
        <w:tc>
          <w:tcPr>
            <w:tcW w:w="48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(15,000,000)</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(1,616,011)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(2,134,179)</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(132.1)%</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(1,687,403)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(1,406,796)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280,607</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42,414</w:t>
            </w:r>
          </w:p>
        </w:tc>
        <w:tc>
          <w:tcPr>
            <w:tcW w:w="2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671,793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(796,218)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1,468,011</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184.4%</w:t>
            </w:r>
          </w:p>
        </w:tc>
      </w:tr>
      <w:tr>
        <w:trPr>
          <w:trHeight w:val="20"/>
        </w:trPr>
        <w:tc>
          <w:tcPr>
            <w:tcW w:w="48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(539,856)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11,180,975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revenue decreased during the three months ended March 31, 2026, as compared to the same period ended in 2025, as a result of the milestone payment received from the Merck Agreement in March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direct result of management's plan to discontinue or pause all research and development activities, the Company did not incur any incremental research and development expenses during the three months ended March 31, 2026, including any related to non-BNC210 product candidates. The negative expense during the period then ended was the result of downward revisions to estimates associated with trailing costs for the closeout of the SAD Prevail clinical trial and other costs associated with pausing all BNC210 activities.</w:t>
      </w:r>
    </w:p>
    <w:p>
      <w:pPr>
        <w:spacing w:after="0" w:line="7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There were no research and development activities being run directly by the Company for any non-BNC210 related product candidates during the three months ended March 31, 2026; however, as previously disclosed in our annual report for the year ended June 30, 2025 and in our periodic reports subsequent thereto, in November 2020, we out-licensed BNC101 to Carina Biotech, and while we believe R&amp;D activities are ongoing under the Carina Biotech license, we have neither direct control over the clinical research or development of this product, nor immediate knowledge of any such research and development activities completed during the three months ended March 31, 2026. In addition, as also previously disclosed in our annual report for the year ended June 30, 2025 and in our periodic reports subsequent thereto, in 2014, we entered into a research collaboration and license agreement with Merck to develop compounds targeting cognitive dysfunction associated with Alzheimer’s disease and other central nervous system conditions. Under the 2014 Merck License Agreement, Merck is responsible for using commercially reasonable efforts to develop, file for marketing authorization for and, following receipt thereof, to commercialize at least one product thereunder; therefore, while we believe research and development activities are ongoing thereunder, we have no immediate knowledge of such activities completed during the three months ended March 31, 2026, other than what has previously been reported.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$0.3 million increase in general and administrative expenses during the three months ended March 31, 2026, as compared to the same period ended in 2025, was substantially due to increases in professional services of $0.5 million combined with $0.1 million in amortization expense previously recorded as part of research and development, partially offset by a decrease in headcount costs of $0.2 million and decreases in office expenses and other fees of $0.1 million related to the previously announced entity restructuring.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net increase in other income of $1.5 million for the three months ended March 31, 2026, as compared to the same period ending in 2025, was primarily due to the fair value adjustment associated with our accompanying warrant liability of $1.4 million, an increase in interest income of $0.2 million, and an increase in research and development incentive awards of $0.3 million, partially offset by an increase in losses associated with foreign currency transactions of $0.4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March 31, 2026 and 2025</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24"/>
        </w:trPr>
        <w:tc>
          <w:tcPr>
            <w:tcW w:w="4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10"/>
        </w:trPr>
        <w:tc>
          <w:tcPr>
            <w:tcW w:w="48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15,662,715</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(15,662,715)</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(3,965,204)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(5,253,953)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(1,288,749)</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(5,681,361)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(5,702,807)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(21,446)</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(1,278,586)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1,278,586</w:t>
            </w:r>
          </w:p>
        </w:tc>
        <w:tc>
          <w:tcPr>
            <w:tcW w:w="2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2,273,296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3,606,306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(1,333,010)</w:t>
            </w:r>
          </w:p>
        </w:tc>
        <w:tc>
          <w:tcPr>
            <w:tcW w:w="16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(8,651,855)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8,312,261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revenue decreased during the nine months ended March 31, 2026, as compared to the same period ended in 2025, as a result of the milestone payment of $15 million received from the Merck Agreement in March 2025 and approximately $0.7 million received from the licensing agreement with Carina Biotech Pty Ltd in October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research and development activities during the six months ended December 31, 2025 and during the full nine months ended March 31, 2025, were primarily focused on the advancement of BNC210. As a direct result of management's October 2025 plan to discontinue or pause all research and development activities, the Company did not incur any incremental research and development expenses during the three months ended March 31, 2026, including any costs related to non-BNC210 product candidates. The negative expense of approximately $0.5 million during the three months ended March 31, 2026, as included in the research and development costs for the nine months ended March 31, 2026, were the result of downward revisions to estimates associated with trailing costs for the closeout of the SAD Prevail clinical trial and other costs associated with pausing all BNC210 activities. As a result, the nine months ended March 31, 2026 and 2025 are substantially uncomparable.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remained flat during the nine months ended March 31, 2026, as compared to the same period ended in 2025. Increased professional fees and costs of pursuing strategic opportunities for the benefit of Company shareholders of approximately $0.6 million combined with $0.1 million in amortization expense previously recorded as part of research and development was offset by decreased headcount costs of $0.5 million, decreased office expense of $0.1 million, and decreased insurance expenses of $0.1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part of the restructuring initiative, the Company incurred employee termination costs of approximately $1.4 million, and other restructuring costs of approximately $0.4 million, inclusive of impairment of the right-of-use asset, partially offset by refundable credits on contract terminations of approximately $0.6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net decrease in other income of $1.3 million for the nine months ended March 31, 2026, as compared to the same period ending in 2025, was primarily due to the fair value adjustment associated with our accompanying warrant liability and contingent consideration of $1.2 million, combined with an increase in losses associated with foreign currency transactions of $1.0 million, partially offset by an increase in research and development incentive awards of $0.5 million and increases in interest income of $0.4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did not have during the nine months ended March 31, 2026, nor do we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and we anticipate that we will incur net losses for the next several years. As of March 31, 2026, we had cash and cash equivalents of $19.4 million and an accumulated deficit of $186.9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10"/>
        </w:trPr>
        <w:tc>
          <w:tcPr>
            <w:tcW w:w="77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(13,566,928)</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3,662,302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17,915,883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823,601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on changes in cash, cash equivalents, and restricted cash</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(53,356)</w:t>
            </w:r>
          </w:p>
        </w:tc>
      </w:tr>
      <w:tr>
        <w:trPr>
          <w:trHeight w:val="20"/>
        </w:trPr>
        <w:tc>
          <w:tcPr>
            <w:tcW w:w="7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5,151,965</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4,432,547</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net cash used in operating activities for the nine months ended March 31, 2026 was approximately $13.6 million as compared to net cash provided by operations for the nine months ended March 31, 2025 of $3.7 million The increase in cash used in operations of approximately $17.2 million is due to an increase in net loss of approximately $17.1 million, changes in the non-cash effect of contingent consideration liability fair value adjustments of $0.2 million, and changes in working capital of $2.0 million, partially offset by the non-cash effect of warrant liability fair value adjustments of $1.5 million, changes in the non-cash effect of foreign currency remeasurement of $0.4 million, and increased share-based compensation of $0.2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transactions categorized as investing activities during either of the nine months ended March 31, 2026 and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Financing activities in the nine months ended March 31, 2026 and 2025 represent issuance of shares, net of associated issue costs, associated with the utilization of our at-the-market ("ATM")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Following the completion of the strategic review process, should we or any successor entity determine to continue development of BNC210 in PTSD, or such other potential partnered product candidates which may come to fruition following the strategic review process that we may develop, such product candidates may never achieve commercialization and, as is customary in the biotechnology industry, we anticipate that we would continue to incur losses for the foreseeable future in relation thereto. In such event, we expect that our research and development expenses and our general and administrative expenses will continue to increase in the ordinary course of such matters. As a result, until such time, if ever, as we can generate substantial product revenue, we expect to finance our cash needs through a combination of equity offerings, debt financings, or other capital sources, as well as existing and potential collaborations, licenses, and other similar arrangements. Assuming continued development of such product candidates, our primary uses of capital are, and we expect will continue to be, compensation and related expenses (including share-based compensation); costs related to third-party clinical research, non-clinical research, manufacturing, and development services; costs relating to the build-out of our headquarters and other offices; license payments or milestone obligations that may arise; legal and other regulatory expenses and general overhead costs.</w:t>
      </w:r>
    </w:p>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Based upon the Company’s current operating plans, reflective of recent cost curtailments, the Company believes that its existing cash and cash equivalents will be sufficient to continue funding its development activities beyond the fourth quarter of fiscal year 2027, which is more than twelve months from the date these condensed consolidated financial statements are issued. Consequently, management has determined there is no substantial doubt regarding the Company's ability to continue as a going concern for the twelve-month period from the date these financial statements are issued.</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based projections of operating capital requirements on the current operating plan, which management believes can be effectively implemented. The operating plan incorporates several assumptions that may prove to be incorrect, and the Company may use all available capital resources sooner than the Company expects. The accompanying condensed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spacing w:after="0" w:line="75" w:lineRule="exact"/>
        <w:rPr>
          <w:sz w:val="20"/>
          <w:szCs w:val="20"/>
          <w:color w:val="auto"/>
        </w:rPr>
      </w:pPr>
    </w:p>
    <w:p>
      <w:pPr>
        <w:ind w:right="3680"/>
        <w:spacing w:after="0" w:line="375" w:lineRule="auto"/>
        <w:rPr>
          <w:sz w:val="20"/>
          <w:szCs w:val="20"/>
          <w:color w:val="auto"/>
        </w:rPr>
      </w:pPr>
      <w:r>
        <w:rPr>
          <w:rFonts w:ascii="Times New Roman" w:cs="Times New Roman" w:eastAsia="Times New Roman" w:hAnsi="Times New Roman"/>
          <w:sz w:val="18"/>
          <w:szCs w:val="18"/>
          <w:color w:val="auto"/>
        </w:rPr>
        <w:t xml:space="preserve">For more information as to the risks associated with our future funding requirements, see “Risk Factors.” </w:t>
      </w:r>
      <w:r>
        <w:rPr>
          <w:rFonts w:ascii="Times New Roman" w:cs="Times New Roman" w:eastAsia="Times New Roman" w:hAnsi="Times New Roman"/>
          <w:sz w:val="18"/>
          <w:szCs w:val="18"/>
          <w:i w:val="1"/>
          <w:iCs w:val="1"/>
          <w:color w:val="auto"/>
        </w:rPr>
        <w:t>Contractual Obligations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do not have any long-term debt or capital lease obligations. We have a current operating lease obligation for our Australian office space, which expires according to its terms in May 2026 and which has been de-recognized for financial statement purposes then re-accrued as a restructuring cost. In addition, we have a warrant liability which commits us to issuing shares to accompanying warrant holders upon the exercise of their warrant or, in the event of a change in control, to repurchase the warrant from the Holder with an amount of cash equal to the Black Scholes Value of the remaining unexercised warrant on the date of the consummation of the change in control transaction. We also have a continuing obligation to pay the balance of severance owed to Dr. Papapetropoulos in accordance with the terms of his severance contract the balance of which approximates $0.2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Because we are allowed to comply with the disclosure obligations applicable to a "smaller reporting company," as defined by Rule 12b-2 of the Exchange Act, with respect to this Quarterly Report on Form 10-Q, we are not required to provide the information required by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Disclosure Committee and management, including our interim Chief Executive Officer and Principal Financial and Accounting Officer, we evaluated the effectiveness of the design and operation of our disclosure controls and procedures (as defined in Rules 13a-15(e) and 15d-15(e) under the Securities Exchange Act of 1934 (Exchange Act)) as of the end of the period covered by this report. Based on our management’s evaluation (with the participation of our interim Chief Executive Officer and our Principal Financial and Accounting Officer), as of the end of the period covered by this report, our interim Chief Executive Officer and our Principal Financial and Accounting Officer have concluded that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of the Exchange Act) during the nine months ended March 31, 2026 that has materially affected, or is reasonably likely to materially affect, our internal control over financial reporting.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relating to claims that we consider to be arising from the ordinary course of our business. There are currently no claims or actions pending against us that, in the opinion of our management, are likely to have a material adverse effect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“Risk Factors” in our Annual Report on Form 10-K for the year ended June 30, 2025 and our subsequent periodic reports on Form 10-Q, each filed with the SEC, which could materially affect our business, financial condition or future results.</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risk factors disclosed in our Form 10-K or our subsequent periodic reports on Form 10-Q filed with the SEC, other than as set forth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statements for the quarter ended March 31, 2026 were prepared assuming that we will continue as a going concern.</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financial statements for the three and nine months ended March 31, 2026 were prepared assuming that we will continue as a going concern. The going concern basis of presentation assumes that we will continue in operation for a period of at least twelve months from the issuance of the financial statements in this Quarterly Report on Form 10-Q, and will be able to realize value for our assets, discharge our liabilities and commitments in the normal course of business, and do not include any adjustments to reflect the possible future effects on the recoverability and classification of assets or the amounts and classification of liabilities that may result from our inability to continue as a going concern. Our management and our board of directors are currently in the process of assessing the Company’s future prospects and strategic transaction alternatives following the negative clinical Phase 3 trial results related to our AFFIRM-1 study in SAD. As a result, we may be forced to further reduce our operating expenses and raise additional funds to meet our working capital needs, principally through the additional sales of our securities or debt financings including, but not limited to, for the possibility of continuing our PTSD clinical trial program or other working capital needs. However, we cannot guarantee that we will be able to obtain sufficient additional funds when needed or that such funds, if available, will be obtainable on terms satisfactory to us. If we are unable to raise sufficient additional capital or complete a strategic transaction in a timely manner, we may be unable to continue to fund our operations, develop our product candidates, or realize value from our assets and discharge our liabilities in the normal course of business. If we cannot raise sufficient funds, or find a suitable strategic partner or alternative strategic pathway, we may have to liquidate our assets and might realize significantly less than the values at which they are carried on our financial statements, and stockholders may lose all or part of their investment in our common stock.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6"/>
          </w:tcPr>
          <w:p>
            <w:pPr>
              <w:ind w:left="3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984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Rules 13a-14(a) and 15d-14(a) under the Securities Exchange Act of 1934, as</w:t>
            </w:r>
          </w:p>
        </w:tc>
        <w:tc>
          <w:tcPr>
            <w:tcW w:w="480" w:type="dxa"/>
            <w:vAlign w:val="bottom"/>
            <w:gridSpan w:val="3"/>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97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Rules 13a-14(a) and 15d-14(a) under the Securities Exchange Act of 1934, as</w:t>
            </w:r>
          </w:p>
        </w:tc>
        <w:tc>
          <w:tcPr>
            <w:tcW w:w="54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 Sarbanes-Oxley</w:t>
            </w:r>
          </w:p>
        </w:tc>
        <w:tc>
          <w:tcPr>
            <w:tcW w:w="1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1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Sarbanes-Oxley</w:t>
            </w:r>
          </w:p>
        </w:tc>
        <w:tc>
          <w:tcPr>
            <w:tcW w:w="16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440" w:type="dxa"/>
            <w:vAlign w:val="bottom"/>
            <w:gridSpan w:val="6"/>
          </w:tcPr>
          <w:p>
            <w:pPr>
              <w:spacing w:after="0" w:line="20" w:lineRule="exact"/>
              <w:rPr>
                <w:sz w:val="1"/>
                <w:szCs w:val="1"/>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10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432"/>
        </w:trPr>
        <w:tc>
          <w:tcPr>
            <w:tcW w:w="800" w:type="dxa"/>
            <w:vAlign w:val="bottom"/>
          </w:tcPr>
          <w:p>
            <w:pPr>
              <w:spacing w:after="0"/>
              <w:rPr>
                <w:sz w:val="24"/>
                <w:szCs w:val="24"/>
                <w:color w:val="auto"/>
              </w:rPr>
            </w:pPr>
          </w:p>
        </w:tc>
        <w:tc>
          <w:tcPr>
            <w:tcW w:w="50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512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94"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36"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Spyridon Papapetropoulos</w:t>
            </w:r>
          </w:p>
        </w:tc>
      </w:tr>
      <w:tr>
        <w:trPr>
          <w:trHeight w:val="191"/>
        </w:trPr>
        <w:tc>
          <w:tcPr>
            <w:tcW w:w="3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Spyridon Papapetropoulos</w:t>
            </w:r>
          </w:p>
        </w:tc>
      </w:tr>
      <w:tr>
        <w:trPr>
          <w:trHeight w:val="234"/>
        </w:trPr>
        <w:tc>
          <w:tcPr>
            <w:tcW w:w="3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Director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191"/>
        </w:trPr>
        <w:tc>
          <w:tcPr>
            <w:tcW w:w="3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Tim Cunningham</w:t>
            </w:r>
          </w:p>
        </w:tc>
      </w:tr>
      <w:tr>
        <w:trPr>
          <w:trHeight w:val="234"/>
        </w:trPr>
        <w:tc>
          <w:tcPr>
            <w:tcW w:w="3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500" w:type="dxa"/>
            <w:vAlign w:val="bottom"/>
          </w:tcPr>
          <w:p>
            <w:pPr>
              <w:spacing w:after="0"/>
              <w:rPr>
                <w:sz w:val="24"/>
                <w:szCs w:val="24"/>
                <w:color w:val="auto"/>
              </w:rPr>
            </w:pP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c>
          <w:tcPr>
            <w:tcW w:w="514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Spyridon Papapetropoulos, certify that:</w:t>
      </w:r>
    </w:p>
    <w:p>
      <w:pPr>
        <w:spacing w:after="0" w:line="117"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Neuphoria Therapeutics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500" w:right="80" w:hanging="369"/>
        <w:spacing w:after="0" w:line="239"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18" w:lineRule="exact"/>
        <w:rPr>
          <w:rFonts w:ascii="Times New Roman" w:cs="Times New Roman" w:eastAsia="Times New Roman" w:hAnsi="Times New Roman"/>
          <w:sz w:val="22"/>
          <w:szCs w:val="22"/>
          <w:color w:val="auto"/>
        </w:rPr>
      </w:pPr>
    </w:p>
    <w:p>
      <w:pPr>
        <w:ind w:left="1500" w:right="200" w:hanging="369"/>
        <w:spacing w:after="0" w:line="239"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22"/>
          <w:szCs w:val="22"/>
          <w:color w:val="auto"/>
        </w:rPr>
      </w:pPr>
    </w:p>
    <w:p>
      <w:pPr>
        <w:jc w:val="both"/>
        <w:ind w:left="1500" w:hanging="369"/>
        <w:spacing w:after="0" w:line="234"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22"/>
          <w:szCs w:val="22"/>
          <w:color w:val="auto"/>
        </w:rPr>
      </w:pPr>
    </w:p>
    <w:p>
      <w:pPr>
        <w:ind w:left="1500" w:right="380" w:hanging="369"/>
        <w:spacing w:after="0" w:line="239"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22"/>
          <w:szCs w:val="22"/>
          <w:color w:val="auto"/>
        </w:rPr>
      </w:pPr>
    </w:p>
    <w:p>
      <w:pPr>
        <w:ind w:left="760" w:right="160" w:hanging="378"/>
        <w:spacing w:after="0" w:line="312" w:lineRule="auto"/>
        <w:tabs>
          <w:tab w:leader="none" w:pos="7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500" w:right="260" w:hanging="369"/>
        <w:spacing w:after="0" w:line="234"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22"/>
          <w:szCs w:val="22"/>
          <w:color w:val="auto"/>
        </w:rPr>
      </w:pPr>
    </w:p>
    <w:p>
      <w:pPr>
        <w:ind w:left="1500" w:right="520" w:hanging="369"/>
        <w:spacing w:after="0" w:line="234"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13335</wp:posOffset>
            </wp:positionV>
            <wp:extent cx="34201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2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Interim Chief Executive Officer and Director</w:t>
      </w:r>
    </w:p>
    <w:p>
      <w:pPr>
        <w:spacing w:after="0" w:line="2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Cunningham, certify that:</w:t>
      </w:r>
    </w:p>
    <w:p>
      <w:pPr>
        <w:spacing w:after="0" w:line="117"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Neuphoria Therapeutics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500" w:right="80" w:hanging="369"/>
        <w:spacing w:after="0" w:line="239"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18" w:lineRule="exact"/>
        <w:rPr>
          <w:rFonts w:ascii="Times New Roman" w:cs="Times New Roman" w:eastAsia="Times New Roman" w:hAnsi="Times New Roman"/>
          <w:sz w:val="22"/>
          <w:szCs w:val="22"/>
          <w:color w:val="auto"/>
        </w:rPr>
      </w:pPr>
    </w:p>
    <w:p>
      <w:pPr>
        <w:ind w:left="1500" w:right="200" w:hanging="369"/>
        <w:spacing w:after="0" w:line="239"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22"/>
          <w:szCs w:val="22"/>
          <w:color w:val="auto"/>
        </w:rPr>
      </w:pPr>
    </w:p>
    <w:p>
      <w:pPr>
        <w:jc w:val="both"/>
        <w:ind w:left="1500" w:hanging="369"/>
        <w:spacing w:after="0" w:line="234"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22"/>
          <w:szCs w:val="22"/>
          <w:color w:val="auto"/>
        </w:rPr>
      </w:pPr>
    </w:p>
    <w:p>
      <w:pPr>
        <w:ind w:left="1500" w:right="380" w:hanging="369"/>
        <w:spacing w:after="0" w:line="239"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22"/>
          <w:szCs w:val="22"/>
          <w:color w:val="auto"/>
        </w:rPr>
      </w:pPr>
    </w:p>
    <w:p>
      <w:pPr>
        <w:ind w:left="760" w:right="160" w:hanging="378"/>
        <w:spacing w:after="0" w:line="312" w:lineRule="auto"/>
        <w:tabs>
          <w:tab w:leader="none" w:pos="7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500" w:right="260" w:hanging="369"/>
        <w:spacing w:after="0" w:line="234"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22"/>
          <w:szCs w:val="22"/>
          <w:color w:val="auto"/>
        </w:rPr>
      </w:pPr>
    </w:p>
    <w:p>
      <w:pPr>
        <w:ind w:left="1500" w:right="520" w:hanging="369"/>
        <w:spacing w:after="0" w:line="234" w:lineRule="auto"/>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15, 2026</w:t>
            </w:r>
          </w:p>
        </w:tc>
        <w:tc>
          <w:tcPr>
            <w:tcW w:w="6060" w:type="dxa"/>
            <w:vAlign w:val="bottom"/>
            <w:gridSpan w:val="2"/>
          </w:tcPr>
          <w:p>
            <w:pPr>
              <w:spacing w:after="0"/>
              <w:rPr>
                <w:sz w:val="18"/>
                <w:szCs w:val="18"/>
                <w:color w:val="auto"/>
              </w:rPr>
            </w:pPr>
          </w:p>
        </w:tc>
      </w:tr>
      <w:tr>
        <w:trPr>
          <w:trHeight w:val="243"/>
        </w:trPr>
        <w:tc>
          <w:tcPr>
            <w:tcW w:w="5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Cunningham</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451"/>
        </w:trPr>
        <w:tc>
          <w:tcPr>
            <w:tcW w:w="5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Neuphoria Therapeutics Inc. (the “Company”), does hereby certify, to the best of such officer’s knowledge, that:</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1"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i w:val="1"/>
          <w:iCs w:val="1"/>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18415</wp:posOffset>
            </wp:positionV>
            <wp:extent cx="34201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Interim Chief Executive Officer and Director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1239520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4" w:name="page35"/>
    <w:bookmarkEnd w:id="34"/>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Neuphoria Therapeutics Inc. (the “Company”), does hereby certify, to the best of such officer’s knowledge, that:</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6060" w:type="dxa"/>
            <w:vAlign w:val="bottom"/>
            <w:gridSpan w:val="2"/>
          </w:tcPr>
          <w:p>
            <w:pPr>
              <w:spacing w:after="0"/>
              <w:rPr>
                <w:sz w:val="17"/>
                <w:szCs w:val="17"/>
                <w:color w:val="auto"/>
              </w:rPr>
            </w:pPr>
          </w:p>
        </w:tc>
      </w:tr>
      <w:tr>
        <w:trPr>
          <w:trHeight w:val="243"/>
        </w:trPr>
        <w:tc>
          <w:tcPr>
            <w:tcW w:w="5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Cunningham</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1239520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2026-05-15T07:37:03Z</dcterms:created>
  <dcterms:modified xsi:type="dcterms:W3CDTF">2026-05-15T07:37:03Z</dcterms:modified>
</cp:coreProperties>
</file>