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SUMMIT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Neuphoria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NEUP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17,073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30,731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grant of RSUs is pursuant to the Company's Board of Directors annual remuneration policy.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Person's continuous service to the Company through the first of the following dates: (a) the day prior to the Company' next annual shareholder meeting (which is expected to be no later than December 15, 2026) or (b) the effective date of a Change in Control of the Company, the RSUs shall fully vest.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Elaine Wangsawidjaja, Attorney-in-Fact for Alan Fisher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654" TargetMode="External"/><Relationship Id="rId5" Type="http://schemas.openxmlformats.org/officeDocument/2006/relationships/hyperlink" Target="http://www.sec.gov/cgi-bin/browse-edgar?action=getcompany&amp;CIK=00011910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655</Words>
  <Characters>3525</Characters>
  <CharactersWithSpaces>4118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