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David 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SUMMIT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Neuphoria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NEUP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8,537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15,412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grant of RSUs is pursuant to the Company's Board of Directors annual remuneration policy.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Subject to the Reporting Person's continuous service to the Company through the first of the following dates: (a) the day prior to the Company' next annual shareholder meeting (which is expected to be no later than December 15, 2026) or (b) the effective date of a Change in Control of the Company, the RSUs shall fully vest.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Elaine Wangsawidjaja, Attorney-in-Fact for David Ian Wilson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949" TargetMode="External"/><Relationship Id="rId5" Type="http://schemas.openxmlformats.org/officeDocument/2006/relationships/hyperlink" Target="http://www.sec.gov/cgi-bin/browse-edgar?action=getcompany&amp;CIK=00011910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657</Words>
  <Characters>3531</Characters>
  <CharactersWithSpaces>4126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